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仿宋" w:eastAsia="方正小标宋简体" w:cs="Times New Roman"/>
          <w:b/>
          <w:color w:val="auto"/>
          <w:sz w:val="44"/>
          <w:szCs w:val="44"/>
          <w:lang w:eastAsia="zh-CN"/>
        </w:rPr>
      </w:pPr>
      <w:r>
        <w:rPr>
          <w:rFonts w:hint="eastAsia" w:ascii="方正小标宋简体" w:hAnsi="仿宋" w:eastAsia="方正小标宋简体" w:cs="Times New Roman"/>
          <w:b/>
          <w:color w:val="auto"/>
          <w:sz w:val="44"/>
          <w:szCs w:val="44"/>
          <w:lang w:eastAsia="zh-CN"/>
        </w:rPr>
        <w:t>广西工商学校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仿宋" w:eastAsia="方正小标宋简体" w:cs="Times New Roman"/>
          <w:b/>
          <w:color w:val="auto"/>
          <w:sz w:val="44"/>
          <w:szCs w:val="44"/>
        </w:rPr>
      </w:pPr>
      <w:r>
        <w:rPr>
          <w:rFonts w:hint="eastAsia" w:ascii="方正小标宋简体" w:hAnsi="仿宋" w:eastAsia="方正小标宋简体" w:cs="Times New Roman"/>
          <w:b/>
          <w:color w:val="auto"/>
          <w:sz w:val="44"/>
          <w:szCs w:val="44"/>
        </w:rPr>
        <w:t>电子商务专业</w:t>
      </w:r>
      <w:r>
        <w:rPr>
          <w:rFonts w:hint="eastAsia" w:ascii="方正小标宋简体" w:hAnsi="仿宋" w:eastAsia="方正小标宋简体" w:cs="Times New Roman"/>
          <w:b/>
          <w:color w:val="auto"/>
          <w:sz w:val="44"/>
          <w:szCs w:val="44"/>
          <w:lang w:val="en-US" w:eastAsia="zh-CN"/>
        </w:rPr>
        <w:t>2020级</w:t>
      </w:r>
      <w:r>
        <w:rPr>
          <w:rFonts w:hint="eastAsia" w:ascii="方正小标宋简体" w:hAnsi="仿宋" w:eastAsia="方正小标宋简体" w:cs="Times New Roman"/>
          <w:b/>
          <w:color w:val="auto"/>
          <w:sz w:val="44"/>
          <w:szCs w:val="44"/>
        </w:rPr>
        <w:t>人才培养方案</w:t>
      </w:r>
    </w:p>
    <w:p>
      <w:pPr>
        <w:ind w:firstLine="0" w:firstLineChars="0"/>
        <w:jc w:val="center"/>
        <w:rPr>
          <w:rFonts w:ascii="宋体" w:hAnsi="宋体" w:eastAsia="宋体"/>
          <w:sz w:val="44"/>
          <w:szCs w:val="44"/>
        </w:rPr>
      </w:pPr>
    </w:p>
    <w:p>
      <w:pPr>
        <w:ind w:firstLine="640"/>
        <w:jc w:val="left"/>
        <w:rPr>
          <w:rFonts w:ascii="宋体" w:hAnsi="宋体" w:eastAsia="宋体"/>
          <w:sz w:val="44"/>
          <w:szCs w:val="44"/>
        </w:rPr>
      </w:pPr>
      <w:r>
        <w:rPr>
          <w:rFonts w:hint="eastAsia"/>
        </w:rPr>
        <w:t>根据教育部《关于征求对</w:t>
      </w:r>
      <w:r>
        <w:t>&lt;</w:t>
      </w:r>
      <w:r>
        <w:rPr>
          <w:rFonts w:hint="eastAsia"/>
        </w:rPr>
        <w:t>教育部关于职业院校专业人才培养方案制订工作的指导意见（征求意见稿）</w:t>
      </w:r>
      <w:r>
        <w:t>&gt;</w:t>
      </w:r>
      <w:r>
        <w:rPr>
          <w:rFonts w:hint="eastAsia"/>
        </w:rPr>
        <w:t>意见的函（教职成司函〔</w:t>
      </w:r>
      <w:r>
        <w:t>2017</w:t>
      </w:r>
      <w:r>
        <w:rPr>
          <w:rFonts w:hint="eastAsia"/>
        </w:rPr>
        <w:t>〕</w:t>
      </w:r>
      <w:r>
        <w:t>130</w:t>
      </w:r>
      <w:r>
        <w:rPr>
          <w:rFonts w:hint="eastAsia"/>
        </w:rPr>
        <w:t>号）》、《关于组织做好职业院校专业人才培养方案制订与实施工作的通知》（教职成司函[2019]61号）、《自治区教育厅关于做好职业院校专业人才培养方案制订与实施工作的通知》（桂教职成〔2019〕38号）文件的要求，依据《教育部关于职业院校专业人才培养方案制订工作的指导意见（征求意见稿）》编制本人才培养方案。</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一、专业名称及代码</w:t>
      </w:r>
    </w:p>
    <w:p>
      <w:pPr>
        <w:ind w:firstLine="640"/>
        <w:rPr>
          <w:rFonts w:ascii="仿宋" w:cs="仿宋"/>
        </w:rPr>
      </w:pPr>
      <w:r>
        <w:rPr>
          <w:rFonts w:hint="eastAsia" w:ascii="仿宋" w:hAnsi="仿宋" w:cs="仿宋"/>
        </w:rPr>
        <w:t>专业名称：电子商务</w:t>
      </w:r>
    </w:p>
    <w:p>
      <w:pPr>
        <w:ind w:firstLine="640"/>
        <w:rPr>
          <w:rFonts w:ascii="仿宋" w:cs="仿宋"/>
        </w:rPr>
      </w:pPr>
      <w:r>
        <w:rPr>
          <w:rFonts w:hint="eastAsia" w:ascii="仿宋" w:hAnsi="仿宋" w:cs="仿宋"/>
        </w:rPr>
        <w:t>专业代码：</w:t>
      </w:r>
      <w:r>
        <w:rPr>
          <w:rFonts w:ascii="仿宋" w:hAnsi="仿宋" w:cs="仿宋"/>
        </w:rPr>
        <w:t>121100</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二、入学要求</w:t>
      </w:r>
    </w:p>
    <w:p>
      <w:pPr>
        <w:ind w:firstLine="640"/>
        <w:rPr>
          <w:rFonts w:ascii="仿宋" w:cs="仿宋"/>
        </w:rPr>
      </w:pPr>
      <w:r>
        <w:rPr>
          <w:rFonts w:hint="eastAsia"/>
        </w:rPr>
        <w:t>招生对象：</w:t>
      </w:r>
      <w:r>
        <w:rPr>
          <w:rFonts w:hint="eastAsia" w:ascii="仿宋" w:hAnsi="仿宋" w:cs="仿宋"/>
        </w:rPr>
        <w:t>初中应（历）届毕业生或同等学历者</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三、修业年限</w:t>
      </w:r>
      <w:bookmarkStart w:id="0" w:name="_GoBack"/>
      <w:bookmarkEnd w:id="0"/>
    </w:p>
    <w:p>
      <w:pPr>
        <w:ind w:firstLine="640"/>
        <w:rPr>
          <w:rFonts w:ascii="仿宋" w:cs="仿宋"/>
        </w:rPr>
      </w:pPr>
      <w:r>
        <w:rPr>
          <w:rFonts w:hint="eastAsia" w:ascii="仿宋" w:hAnsi="仿宋" w:cs="仿宋"/>
        </w:rPr>
        <w:t>学制：全日制三年</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四、职业面向</w:t>
      </w:r>
    </w:p>
    <w:tbl>
      <w:tblPr>
        <w:tblStyle w:val="8"/>
        <w:tblW w:w="52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261"/>
        <w:gridCol w:w="996"/>
        <w:gridCol w:w="1768"/>
        <w:gridCol w:w="2275"/>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88"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所属专业大类（代码）</w:t>
            </w:r>
          </w:p>
        </w:tc>
        <w:tc>
          <w:tcPr>
            <w:tcW w:w="1261"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所属专业类</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（代码）</w:t>
            </w:r>
          </w:p>
        </w:tc>
        <w:tc>
          <w:tcPr>
            <w:tcW w:w="996"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对应</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行业</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（代码）</w:t>
            </w:r>
          </w:p>
        </w:tc>
        <w:tc>
          <w:tcPr>
            <w:tcW w:w="1768"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主要职业类别</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（代码）</w:t>
            </w:r>
          </w:p>
        </w:tc>
        <w:tc>
          <w:tcPr>
            <w:tcW w:w="2275"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主要岗位类别（或技术领域）</w:t>
            </w:r>
          </w:p>
        </w:tc>
        <w:tc>
          <w:tcPr>
            <w:tcW w:w="2227"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职业资格证书或技能等级证书举例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88" w:type="dxa"/>
            <w:vAlign w:val="center"/>
          </w:tcPr>
          <w:p>
            <w:pPr>
              <w:spacing w:line="520" w:lineRule="exact"/>
              <w:ind w:firstLine="0" w:firstLineChars="0"/>
              <w:jc w:val="center"/>
              <w:rPr>
                <w:rFonts w:ascii="Times New Roman" w:hAnsi="Times New Roman" w:cs="Tahoma"/>
                <w:bCs/>
                <w:kern w:val="0"/>
                <w:szCs w:val="32"/>
              </w:rPr>
            </w:pPr>
          </w:p>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p>
            <w:pPr>
              <w:spacing w:line="520" w:lineRule="exact"/>
              <w:ind w:firstLine="0" w:firstLineChars="0"/>
              <w:jc w:val="center"/>
              <w:rPr>
                <w:rFonts w:ascii="Times New Roman" w:hAnsi="Times New Roman" w:cs="Tahoma"/>
                <w:bCs/>
                <w:kern w:val="0"/>
                <w:szCs w:val="32"/>
              </w:rPr>
            </w:pPr>
          </w:p>
        </w:tc>
        <w:tc>
          <w:tcPr>
            <w:tcW w:w="1261"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4-99-00-00</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其他商业、服务业人员</w:t>
            </w:r>
          </w:p>
        </w:tc>
        <w:tc>
          <w:tcPr>
            <w:tcW w:w="2227" w:type="dxa"/>
            <w:vAlign w:val="center"/>
          </w:tcPr>
          <w:p>
            <w:pPr>
              <w:pStyle w:val="7"/>
              <w:widowControl/>
              <w:spacing w:beforeAutospacing="0" w:afterAutospacing="0" w:line="240" w:lineRule="auto"/>
              <w:ind w:firstLine="0" w:firstLineChars="0"/>
              <w:rPr>
                <w:rFonts w:ascii="Times New Roman" w:hAnsi="Times New Roman" w:cs="Tahoma"/>
                <w:bCs/>
                <w:szCs w:val="32"/>
              </w:rPr>
            </w:pPr>
            <w:r>
              <w:rPr>
                <w:rFonts w:hint="eastAsia" w:cs="Tahoma"/>
                <w:bCs/>
                <w:sz w:val="32"/>
                <w:szCs w:val="32"/>
              </w:rPr>
              <w:t>商品信息采集专项职业能力</w:t>
            </w:r>
            <w:r>
              <w:rPr>
                <w:rFonts w:hint="eastAsia" w:ascii="Times New Roman" w:hAnsi="Times New Roman" w:cs="Tahoma"/>
                <w:bCs/>
                <w:sz w:val="32"/>
                <w:szCs w:val="32"/>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6540</w:t>
            </w:r>
          </w:p>
        </w:tc>
        <w:tc>
          <w:tcPr>
            <w:tcW w:w="1768"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4-99-00-00</w:t>
            </w:r>
          </w:p>
        </w:tc>
        <w:tc>
          <w:tcPr>
            <w:tcW w:w="2275" w:type="dxa"/>
            <w:vAlign w:val="center"/>
          </w:tcPr>
          <w:p>
            <w:pPr>
              <w:spacing w:line="240" w:lineRule="atLeast"/>
              <w:ind w:firstLine="0" w:firstLineChars="0"/>
              <w:jc w:val="left"/>
              <w:rPr>
                <w:rFonts w:ascii="Times New Roman" w:hAnsi="Times New Roman"/>
              </w:rPr>
            </w:pPr>
            <w:r>
              <w:rPr>
                <w:rFonts w:hint="eastAsia" w:ascii="Times New Roman" w:hAnsi="Times New Roman" w:cs="Tahoma"/>
                <w:bCs/>
                <w:kern w:val="0"/>
                <w:szCs w:val="32"/>
              </w:rPr>
              <w:t>其他商业、服务业人员</w:t>
            </w:r>
          </w:p>
        </w:tc>
        <w:tc>
          <w:tcPr>
            <w:tcW w:w="2227" w:type="dxa"/>
            <w:vAlign w:val="center"/>
          </w:tcPr>
          <w:p>
            <w:pPr>
              <w:pStyle w:val="7"/>
              <w:widowControl/>
              <w:spacing w:beforeAutospacing="0" w:afterAutospacing="0" w:line="240" w:lineRule="auto"/>
              <w:ind w:firstLine="0" w:firstLineChars="0"/>
              <w:rPr>
                <w:rFonts w:ascii="Times New Roman" w:hAnsi="Times New Roman" w:cs="Tahoma"/>
                <w:bCs/>
                <w:sz w:val="32"/>
                <w:szCs w:val="32"/>
              </w:rPr>
            </w:pPr>
            <w:r>
              <w:rPr>
                <w:rFonts w:hint="eastAsia" w:cs="Tahoma"/>
                <w:bCs/>
                <w:sz w:val="32"/>
                <w:szCs w:val="32"/>
              </w:rPr>
              <w:t>农村电商运营专项职业能力</w:t>
            </w:r>
            <w:r>
              <w:rPr>
                <w:rFonts w:hint="eastAsia" w:ascii="Times New Roman" w:hAnsi="Times New Roman" w:cs="Tahoma"/>
                <w:bCs/>
                <w:sz w:val="32"/>
                <w:szCs w:val="32"/>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6540</w:t>
            </w:r>
          </w:p>
        </w:tc>
        <w:tc>
          <w:tcPr>
            <w:tcW w:w="1768"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4-99-00-00</w:t>
            </w:r>
          </w:p>
        </w:tc>
        <w:tc>
          <w:tcPr>
            <w:tcW w:w="2275" w:type="dxa"/>
            <w:vAlign w:val="center"/>
          </w:tcPr>
          <w:p>
            <w:pPr>
              <w:spacing w:line="240" w:lineRule="atLeast"/>
              <w:ind w:firstLine="0" w:firstLineChars="0"/>
              <w:jc w:val="left"/>
              <w:rPr>
                <w:rFonts w:ascii="Times New Roman" w:hAnsi="Times New Roman"/>
              </w:rPr>
            </w:pPr>
            <w:r>
              <w:rPr>
                <w:rFonts w:hint="eastAsia" w:ascii="Times New Roman" w:hAnsi="Times New Roman" w:cs="Tahoma"/>
                <w:bCs/>
                <w:kern w:val="0"/>
                <w:szCs w:val="32"/>
              </w:rPr>
              <w:t>其他商业、服务业人员</w:t>
            </w:r>
          </w:p>
        </w:tc>
        <w:tc>
          <w:tcPr>
            <w:tcW w:w="2227" w:type="dxa"/>
            <w:vAlign w:val="center"/>
          </w:tcPr>
          <w:p>
            <w:pPr>
              <w:pStyle w:val="7"/>
              <w:widowControl/>
              <w:spacing w:beforeAutospacing="0" w:afterAutospacing="0" w:line="240" w:lineRule="auto"/>
              <w:ind w:firstLine="0" w:firstLineChars="0"/>
              <w:rPr>
                <w:rFonts w:hint="eastAsia" w:cs="Tahoma"/>
                <w:bCs/>
                <w:sz w:val="32"/>
                <w:szCs w:val="32"/>
              </w:rPr>
            </w:pPr>
            <w:r>
              <w:rPr>
                <w:rFonts w:hint="eastAsia" w:cs="Tahoma"/>
                <w:bCs/>
                <w:sz w:val="32"/>
                <w:szCs w:val="32"/>
              </w:rPr>
              <w:t>商务数据分析专项职业能力证书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240" w:lineRule="atLeast"/>
              <w:ind w:left="0" w:leftChars="0" w:firstLine="0" w:firstLineChars="0"/>
              <w:jc w:val="left"/>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240" w:lineRule="atLeast"/>
              <w:ind w:firstLine="0" w:firstLineChars="0"/>
              <w:jc w:val="left"/>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240" w:lineRule="atLeast"/>
              <w:ind w:firstLine="0" w:firstLineChars="0"/>
              <w:jc w:val="left"/>
              <w:rPr>
                <w:rFonts w:ascii="Times New Roman" w:hAnsi="Times New Roman" w:cs="Tahoma"/>
                <w:bCs/>
                <w:kern w:val="0"/>
                <w:szCs w:val="32"/>
              </w:rPr>
            </w:pPr>
            <w:r>
              <w:rPr>
                <w:rFonts w:ascii="Times New Roman" w:hAnsi="Times New Roman" w:cs="Tahoma"/>
                <w:bCs/>
                <w:kern w:val="0"/>
                <w:szCs w:val="32"/>
              </w:rPr>
              <w:t>4-99-00-00</w:t>
            </w:r>
          </w:p>
        </w:tc>
        <w:tc>
          <w:tcPr>
            <w:tcW w:w="2275" w:type="dxa"/>
            <w:vAlign w:val="center"/>
          </w:tcPr>
          <w:p>
            <w:pPr>
              <w:spacing w:line="240" w:lineRule="atLeast"/>
              <w:ind w:firstLine="0" w:firstLineChars="0"/>
              <w:jc w:val="left"/>
              <w:rPr>
                <w:rFonts w:ascii="Times New Roman" w:hAnsi="Times New Roman" w:cs="Tahoma"/>
                <w:bCs/>
                <w:kern w:val="0"/>
                <w:szCs w:val="32"/>
              </w:rPr>
            </w:pPr>
            <w:r>
              <w:rPr>
                <w:rFonts w:hint="eastAsia" w:ascii="Times New Roman" w:hAnsi="Times New Roman" w:cs="Tahoma"/>
                <w:bCs/>
                <w:kern w:val="0"/>
                <w:szCs w:val="32"/>
              </w:rPr>
              <w:t>其他商业、服务业人员</w:t>
            </w:r>
          </w:p>
        </w:tc>
        <w:tc>
          <w:tcPr>
            <w:tcW w:w="2227" w:type="dxa"/>
            <w:vAlign w:val="center"/>
          </w:tcPr>
          <w:p>
            <w:pPr>
              <w:spacing w:line="240" w:lineRule="atLeast"/>
              <w:ind w:firstLine="0" w:firstLineChars="0"/>
              <w:jc w:val="left"/>
              <w:rPr>
                <w:rFonts w:hint="eastAsia" w:ascii="Times New Roman" w:hAnsi="Times New Roman" w:eastAsia="宋体" w:cs="Tahoma"/>
                <w:bCs/>
                <w:kern w:val="0"/>
                <w:szCs w:val="32"/>
                <w:lang w:eastAsia="zh-CN"/>
              </w:rPr>
            </w:pPr>
            <w:r>
              <w:rPr>
                <w:rFonts w:hint="eastAsia" w:ascii="Calibri" w:hAnsi="Calibri" w:eastAsia="仿宋" w:cs="Tahoma"/>
                <w:bCs/>
                <w:kern w:val="0"/>
                <w:sz w:val="32"/>
                <w:szCs w:val="32"/>
                <w:lang w:val="en-US" w:eastAsia="zh-CN" w:bidi="ar-SA"/>
              </w:rPr>
              <w:t>跨境电商数据运营职业技能证书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仿宋" w:cs="仿宋"/>
                <w:bCs/>
                <w:kern w:val="0"/>
                <w:szCs w:val="32"/>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240" w:lineRule="atLeast"/>
              <w:ind w:firstLine="0" w:firstLineChars="0"/>
              <w:jc w:val="center"/>
              <w:rPr>
                <w:rFonts w:ascii="Times New Roman" w:hAnsi="Times New Roman" w:cs="Tahoma"/>
                <w:bCs/>
                <w:kern w:val="0"/>
                <w:szCs w:val="32"/>
              </w:rPr>
            </w:pPr>
            <w:r>
              <w:rPr>
                <w:rFonts w:ascii="Times New Roman" w:hAnsi="Times New Roman" w:cs="Tahoma"/>
                <w:bCs/>
                <w:kern w:val="0"/>
                <w:szCs w:val="32"/>
              </w:rPr>
              <w:t>4-07-05-99</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其他摄影服务人员</w:t>
            </w:r>
          </w:p>
        </w:tc>
        <w:tc>
          <w:tcPr>
            <w:tcW w:w="2227" w:type="dxa"/>
            <w:vAlign w:val="center"/>
          </w:tcPr>
          <w:p>
            <w:pPr>
              <w:spacing w:line="240" w:lineRule="atLeast"/>
              <w:ind w:firstLine="0" w:firstLineChars="0"/>
              <w:jc w:val="left"/>
              <w:rPr>
                <w:rFonts w:ascii="Times New Roman" w:hAnsi="Times New Roman" w:cs="Tahoma"/>
                <w:bCs/>
                <w:kern w:val="0"/>
                <w:szCs w:val="32"/>
              </w:rPr>
            </w:pPr>
            <w:r>
              <w:rPr>
                <w:rFonts w:hint="eastAsia" w:ascii="Times New Roman" w:hAnsi="Times New Roman" w:cs="Tahoma"/>
                <w:bCs/>
                <w:kern w:val="0"/>
                <w:szCs w:val="32"/>
              </w:rPr>
              <w:t>商品信息采集专项职业能力证书</w:t>
            </w:r>
            <w:r>
              <w:rPr>
                <w:rFonts w:ascii="Times New Roman" w:hAnsi="Times New Roman" w:cs="Tahoma"/>
                <w:bCs/>
                <w:kern w:val="0"/>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仿宋" w:cs="仿宋"/>
                <w:bCs/>
                <w:kern w:val="0"/>
                <w:szCs w:val="32"/>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2-02-34-06</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营销工程技术人员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网络营销专项职业能力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2-02-13-99</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其他计算机与应用工程技术人员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网店装修专项职业能力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2-02-13-99</w:t>
            </w:r>
          </w:p>
        </w:tc>
        <w:tc>
          <w:tcPr>
            <w:tcW w:w="2275" w:type="dxa"/>
            <w:vAlign w:val="center"/>
          </w:tcPr>
          <w:p>
            <w:pPr>
              <w:spacing w:line="240" w:lineRule="atLeast"/>
              <w:ind w:firstLine="0" w:firstLineChars="0"/>
              <w:jc w:val="left"/>
              <w:rPr>
                <w:rFonts w:ascii="Times New Roman" w:hAnsi="Times New Roman" w:cs="Tahoma"/>
                <w:bCs/>
                <w:kern w:val="0"/>
                <w:szCs w:val="32"/>
              </w:rPr>
            </w:pPr>
            <w:r>
              <w:rPr>
                <w:rFonts w:hint="eastAsia" w:ascii="Times New Roman" w:hAnsi="Times New Roman" w:cs="Tahoma"/>
                <w:bCs/>
                <w:kern w:val="0"/>
                <w:szCs w:val="32"/>
              </w:rPr>
              <w:t>其他计算机与应用工程技术人员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网络新媒体运营专项职业能力</w:t>
            </w:r>
            <w:r>
              <w:rPr>
                <w:rFonts w:ascii="Times New Roman" w:hAnsi="Times New Roman" w:cs="Tahoma"/>
                <w:bCs/>
                <w:kern w:val="0"/>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4-99-00-00</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其他商业、服务业人员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物流员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宋体" w:eastAsia="宋体" w:cs="宋体"/>
                <w:color w:val="333333"/>
                <w:kern w:val="0"/>
                <w:sz w:val="28"/>
                <w:szCs w:val="28"/>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3-01-02-05</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计算机操作员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计算机操作员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hint="default" w:ascii="宋体" w:eastAsia="宋体" w:cs="宋体"/>
                <w:color w:val="333333"/>
                <w:kern w:val="0"/>
                <w:sz w:val="28"/>
                <w:szCs w:val="28"/>
                <w:lang w:val="en-US" w:eastAsia="zh-CN"/>
              </w:rPr>
            </w:pPr>
            <w:r>
              <w:rPr>
                <w:rFonts w:hint="eastAsia" w:ascii="Times New Roman" w:hAnsi="Times New Roman" w:cs="Tahoma"/>
                <w:bCs/>
                <w:kern w:val="0"/>
                <w:szCs w:val="32"/>
                <w:lang w:val="en-US" w:eastAsia="zh-CN"/>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2-02-13-03</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计算机网络技术人员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计算机网络管理员</w:t>
            </w:r>
          </w:p>
        </w:tc>
      </w:tr>
    </w:tbl>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五、培养目标与培养规格</w:t>
      </w:r>
    </w:p>
    <w:p>
      <w:pPr>
        <w:pStyle w:val="2"/>
        <w:ind w:firstLine="643"/>
        <w:rPr>
          <w:rFonts w:hint="eastAsia" w:ascii="楷体" w:hAnsi="楷体" w:eastAsia="楷体" w:cs="楷体"/>
        </w:rPr>
      </w:pPr>
      <w:r>
        <w:rPr>
          <w:rFonts w:hint="eastAsia" w:ascii="楷体" w:hAnsi="楷体" w:eastAsia="楷体" w:cs="楷体"/>
        </w:rPr>
        <w:t>（一）培养目标</w:t>
      </w:r>
    </w:p>
    <w:p>
      <w:pPr>
        <w:ind w:firstLine="640"/>
        <w:rPr>
          <w:rFonts w:ascii="仿宋" w:cs="仿宋"/>
        </w:rPr>
      </w:pPr>
      <w:r>
        <w:rPr>
          <w:rFonts w:hint="eastAsia" w:ascii="仿宋" w:hAnsi="仿宋" w:cs="仿宋"/>
        </w:rPr>
        <w:t>本专业培养“以就业为导向，以学生为主体，以全面促进综合能力培养为中心”，培养适合我国社会主义现代化建设的实际需求，适应广西地区经济特色发展的、精准对接电子商务产业发展的中职电子商务立体型人才。培养具有良好的职业道德、敬业精神、团队精神、创新意识和诚信品质，掌握一定的电子商务应用知识，具备较强的计算机应用知识和应用能力。通过专业课程的学习，能够适应互联网经济发展的要求，掌握本专业的基本理论基础知识和基本技能，能熟练运用电子商务技术，有一定实践动手能力，能在与电子商务有关的网站、企业从事网络营销工作、新媒体运营、网店管理与运营、网页设计与制作等工作。</w:t>
      </w:r>
    </w:p>
    <w:p>
      <w:pPr>
        <w:pStyle w:val="2"/>
        <w:ind w:firstLine="643"/>
        <w:rPr>
          <w:rFonts w:hint="eastAsia" w:ascii="楷体" w:hAnsi="楷体" w:eastAsia="楷体" w:cs="楷体"/>
        </w:rPr>
      </w:pPr>
      <w:r>
        <w:rPr>
          <w:rFonts w:hint="eastAsia" w:ascii="楷体" w:hAnsi="楷体" w:eastAsia="楷体" w:cs="楷体"/>
        </w:rPr>
        <w:t>（二）培养规格</w:t>
      </w:r>
    </w:p>
    <w:p>
      <w:pPr>
        <w:pStyle w:val="3"/>
        <w:ind w:firstLine="643"/>
        <w:rPr>
          <w:rFonts w:hint="eastAsia" w:ascii="仿宋" w:hAnsi="仿宋" w:eastAsia="仿宋" w:cs="仿宋"/>
        </w:rPr>
      </w:pPr>
      <w:r>
        <w:rPr>
          <w:rFonts w:hint="eastAsia" w:ascii="仿宋" w:hAnsi="仿宋" w:eastAsia="仿宋" w:cs="仿宋"/>
        </w:rPr>
        <w:t>1.道德素质</w:t>
      </w:r>
    </w:p>
    <w:p>
      <w:pPr>
        <w:ind w:firstLine="640"/>
        <w:rPr>
          <w:rFonts w:ascii="仿宋" w:cs="仿宋"/>
        </w:rPr>
      </w:pPr>
      <w:r>
        <w:rPr>
          <w:rFonts w:hint="eastAsia" w:ascii="仿宋" w:hAnsi="仿宋" w:cs="仿宋"/>
        </w:rPr>
        <w:t>具有正确的世界观、人生观、价值观。坚决拥护中国共产党领导，树立中国特色社会主义共同理想，践行社会主义核心价值观，具有深厚的爱国情感、国家认同感、中华民族自豪感；崇尚宪法、遵守法律、遵规守纪；具有社会责任感和参与意识。</w:t>
      </w:r>
    </w:p>
    <w:p>
      <w:pPr>
        <w:ind w:firstLine="640"/>
        <w:rPr>
          <w:rFonts w:ascii="仿宋" w:cs="仿宋"/>
        </w:rPr>
      </w:pPr>
      <w:r>
        <w:rPr>
          <w:rFonts w:hint="eastAsia" w:ascii="仿宋" w:hAnsi="仿宋" w:cs="仿宋"/>
        </w:rPr>
        <w:t>具有良好的职业道德和职业素养。崇德向善、诚实守信、爱岗敬业，具有精益求精的工匠精神；尊重劳动、热爱劳动，具有较强的实践能力；具有质量意识、绿色环保意识、安全意识、信息素养、创新精神；具有较强的集体意识和团队合作精神，能够进行有效的人际沟通和协作，与社会、自然和谐共处；具有职业生涯规划意识。</w:t>
      </w:r>
    </w:p>
    <w:p>
      <w:pPr>
        <w:ind w:firstLine="640"/>
        <w:rPr>
          <w:rFonts w:ascii="仿宋" w:cs="仿宋"/>
        </w:rPr>
      </w:pPr>
      <w:r>
        <w:rPr>
          <w:rFonts w:hint="eastAsia" w:ascii="仿宋" w:hAnsi="仿宋" w:cs="仿宋"/>
        </w:rPr>
        <w:t>具有良好的身心素质和人文素养。具有健康的体魄和心理、健全的人格，能够掌握基本运动知识和一两项运动技能；具有感受美、表现美、鉴赏美、创造美的能力，具有一定的审美和人文素养，能够形成一两项艺术特长或爱好；掌握一定的学习方法，具有良好的生活习惯、行为习惯和自我管理能力。</w:t>
      </w:r>
    </w:p>
    <w:p>
      <w:pPr>
        <w:pStyle w:val="3"/>
        <w:ind w:firstLine="643"/>
        <w:rPr>
          <w:rFonts w:hint="eastAsia" w:ascii="仿宋" w:hAnsi="仿宋" w:eastAsia="仿宋" w:cs="仿宋"/>
        </w:rPr>
      </w:pPr>
      <w:r>
        <w:rPr>
          <w:rFonts w:hint="eastAsia" w:ascii="仿宋" w:hAnsi="仿宋" w:eastAsia="仿宋" w:cs="仿宋"/>
        </w:rPr>
        <w:t>2.职业知识</w:t>
      </w:r>
    </w:p>
    <w:p>
      <w:pPr>
        <w:ind w:firstLine="640"/>
        <w:rPr>
          <w:rFonts w:ascii="仿宋" w:cs="仿宋"/>
        </w:rPr>
      </w:pPr>
      <w:r>
        <w:rPr>
          <w:rFonts w:hint="eastAsia"/>
        </w:rPr>
        <w:t>了</w:t>
      </w:r>
      <w:r>
        <w:rPr>
          <w:rFonts w:hint="eastAsia" w:ascii="仿宋" w:hAnsi="仿宋" w:cs="仿宋"/>
        </w:rPr>
        <w:t>解电子商务基础知识、营销基础知识、跨境电子商务基础知识；掌握计算机应用基础知识，电子商务运作业务各环节和交易的程序；掌握电子商务网站的相关理论、原则和方法；掌握电子商务日常工作中客户服务相关专业知识；掌握熟悉电子商务法律、谈判、营销的基本知识等。</w:t>
      </w:r>
    </w:p>
    <w:p>
      <w:pPr>
        <w:pStyle w:val="3"/>
        <w:ind w:firstLine="643"/>
        <w:rPr>
          <w:rFonts w:hint="eastAsia" w:ascii="仿宋" w:hAnsi="仿宋" w:eastAsia="仿宋" w:cs="仿宋"/>
        </w:rPr>
      </w:pPr>
      <w:r>
        <w:rPr>
          <w:rFonts w:hint="eastAsia" w:ascii="仿宋" w:hAnsi="仿宋" w:eastAsia="仿宋" w:cs="仿宋"/>
        </w:rPr>
        <w:t>3.职业能力</w:t>
      </w:r>
    </w:p>
    <w:p>
      <w:pPr>
        <w:pStyle w:val="17"/>
        <w:numPr>
          <w:ilvl w:val="0"/>
          <w:numId w:val="1"/>
        </w:numPr>
        <w:snapToGrid/>
        <w:ind w:firstLineChars="0"/>
      </w:pPr>
      <w:r>
        <w:rPr>
          <w:rFonts w:hint="eastAsia"/>
        </w:rPr>
        <w:t>能使用计算机常用工具软件（包括网络工具软件）处理日常工作文档，满足工作需要；</w:t>
      </w:r>
    </w:p>
    <w:p>
      <w:pPr>
        <w:pStyle w:val="17"/>
        <w:numPr>
          <w:ilvl w:val="0"/>
          <w:numId w:val="1"/>
        </w:numPr>
        <w:snapToGrid/>
        <w:ind w:firstLineChars="0"/>
      </w:pPr>
      <w:r>
        <w:rPr>
          <w:rFonts w:hint="eastAsia"/>
        </w:rPr>
        <w:t>能熟练使用互联网络交易平台处理</w:t>
      </w:r>
      <w:r>
        <w:t>B2B</w:t>
      </w:r>
      <w:r>
        <w:rPr>
          <w:rFonts w:hint="eastAsia"/>
        </w:rPr>
        <w:t>、</w:t>
      </w:r>
      <w:r>
        <w:t>B2C</w:t>
      </w:r>
      <w:r>
        <w:rPr>
          <w:rFonts w:hint="eastAsia"/>
        </w:rPr>
        <w:t>、</w:t>
      </w:r>
      <w:r>
        <w:t>C2C</w:t>
      </w:r>
      <w:r>
        <w:rPr>
          <w:rFonts w:hint="eastAsia"/>
        </w:rPr>
        <w:t>等商务活动交易；</w:t>
      </w:r>
    </w:p>
    <w:p>
      <w:pPr>
        <w:pStyle w:val="17"/>
        <w:numPr>
          <w:ilvl w:val="0"/>
          <w:numId w:val="1"/>
        </w:numPr>
        <w:snapToGrid/>
        <w:ind w:firstLineChars="0"/>
      </w:pPr>
      <w:r>
        <w:rPr>
          <w:rFonts w:hint="eastAsia"/>
        </w:rPr>
        <w:t>熟练文献检索、资料咨询、收集的基本方法；</w:t>
      </w:r>
    </w:p>
    <w:p>
      <w:pPr>
        <w:pStyle w:val="17"/>
        <w:numPr>
          <w:ilvl w:val="0"/>
          <w:numId w:val="1"/>
        </w:numPr>
        <w:snapToGrid/>
        <w:ind w:firstLineChars="0"/>
      </w:pPr>
      <w:r>
        <w:rPr>
          <w:rFonts w:hint="eastAsia"/>
        </w:rPr>
        <w:t>能完成信息搜集、原创、编辑、发布等信息处理工作；</w:t>
      </w:r>
    </w:p>
    <w:p>
      <w:pPr>
        <w:pStyle w:val="17"/>
        <w:numPr>
          <w:ilvl w:val="0"/>
          <w:numId w:val="1"/>
        </w:numPr>
        <w:snapToGrid/>
        <w:ind w:firstLineChars="0"/>
      </w:pPr>
      <w:r>
        <w:rPr>
          <w:rFonts w:hint="eastAsia"/>
        </w:rPr>
        <w:t>能处理电子商务平台的交易投诉，准确地执行平台营销的各种工作，能按照服务规范与流程，服务客户，提出顾客接受的解决方案。</w:t>
      </w:r>
    </w:p>
    <w:p>
      <w:pPr>
        <w:pStyle w:val="17"/>
        <w:numPr>
          <w:ilvl w:val="0"/>
          <w:numId w:val="1"/>
        </w:numPr>
        <w:snapToGrid/>
        <w:ind w:firstLineChars="0"/>
      </w:pPr>
      <w:r>
        <w:rPr>
          <w:rFonts w:hint="eastAsia"/>
        </w:rPr>
        <w:t>能根据需求，设计网站风格、网页布局、网站色调等，并使用设计类工具软件呈现设计效果图。</w:t>
      </w:r>
    </w:p>
    <w:p>
      <w:pPr>
        <w:pStyle w:val="17"/>
        <w:numPr>
          <w:ilvl w:val="0"/>
          <w:numId w:val="1"/>
        </w:numPr>
        <w:snapToGrid/>
        <w:ind w:firstLineChars="0"/>
      </w:pPr>
      <w:r>
        <w:rPr>
          <w:rFonts w:hint="eastAsia"/>
        </w:rPr>
        <w:t>能根据需求，操作站内和站外推广媒介，达到网络营销目的。</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六、课程设置及要求</w:t>
      </w:r>
    </w:p>
    <w:p>
      <w:pPr>
        <w:ind w:firstLine="640"/>
        <w:rPr>
          <w:rFonts w:hint="eastAsia" w:eastAsia="仿宋"/>
          <w:lang w:eastAsia="zh-CN"/>
        </w:rPr>
      </w:pPr>
      <w:r>
        <w:rPr>
          <w:rFonts w:hint="eastAsia"/>
          <w:lang w:eastAsia="zh-CN"/>
        </w:rPr>
        <w:t>主要包括公共基础课程和专业课程。</w:t>
      </w:r>
    </w:p>
    <w:p>
      <w:pPr>
        <w:pStyle w:val="2"/>
        <w:ind w:firstLine="643"/>
        <w:rPr>
          <w:rFonts w:hint="eastAsia" w:ascii="楷体" w:hAnsi="楷体" w:eastAsia="楷体" w:cs="楷体"/>
        </w:rPr>
      </w:pPr>
      <w:r>
        <w:rPr>
          <w:rFonts w:hint="eastAsia" w:ascii="楷体" w:hAnsi="楷体" w:eastAsia="楷体" w:cs="楷体"/>
        </w:rPr>
        <w:t>（一）公共基础课程</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489"/>
        <w:gridCol w:w="5677"/>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blHeader/>
          <w:jc w:val="center"/>
        </w:trPr>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序号</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课程名称</w:t>
            </w:r>
          </w:p>
        </w:tc>
        <w:tc>
          <w:tcPr>
            <w:tcW w:w="598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主要教学内容和要求</w:t>
            </w:r>
          </w:p>
        </w:tc>
        <w:tc>
          <w:tcPr>
            <w:tcW w:w="10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中国特色社会主义</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依据教育部《中等职业学校公共基础课课程方案》开设，以习近平新时代中国特色社会主义思想为指导，阐释中国特色社会主义的开创与发展，明确中国特色社会主义进入新时代的历史方位， 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通过学习，学生能够正确认识中华民族近代以来从站起来到富起来再到强起来的发展进程；明确中国特色社会主义制度的显著优势，坚决拥护中国共产党的领导，坚定中国特色社会主义道路自信、理论自信、制度自信、文化自信；认清自己在实现中国特色社会主义新时代发展目标中的历史机遇与使命担当，以热爱祖国为立身之本、成才之基，在新时代新征程中健康成长、成才报国。</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2</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心理健康与职业生涯</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通过学习，学生应能结合活动体验和社会实践，了解心理健康、职业生涯的基本知识，树立心理健康意识，掌握心理调适方法，形成适应时代发展的职业理想和职业发展观，探寻符合自身实际和社会发展的积极生活目标，养成自立自强、敬业乐群的心理品质和自尊自信、理性平和、积极向上的良好心态，提高应对挫折与适应社会的能力，掌握制订和执行职业生涯规划的方法，提升职业素养，为顺利就业创业创造条件。</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哲学与人生</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通过学习，学生能够了解马克思主义哲学基本原理，运用辩证唯物主义和历史唯物主义观点认识世界，坚持实践第一的观点，一切从实际出发、实事求是，学会用具体问题具体分析等方法，正确认识社会问题，分析和处理个人成长中的人生问题，在生活中做出正确的价值判断和行为选择，自觉弘扬和践行社会主义核心价值观，为形成正确的世界观、人生观和价值观奠定基础</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4</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职业道德与法治</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通过学习，学生能够理解全面依法治国的总目标，了解我国新时代加强公民道德建设、践行职业道德的主要内容及其重要意义；能够掌握加强职业道德修养的主要方法，初步具备依法维权和有序参与公共事务的能力；能够根据社会发展需要、结合自身实际， 以道德和法律的要求规范自己的言行，做恪守道德规范、尊法学法守法用法的好公民。</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5</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历史（中国历史、世界历史）</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本课程是在义务教育历史课程的基础上，以唯物史观为指导，促进中等职业学校学生进一步了解人类社会形态从低级到高级发展的基本脉络、基本规律和优秀文化成果；从历史的角度了解和思考人与人、人与社会、人与自然的关系，增强历史使命感和社会责任感；进一步弘扬以爱国主义为核心的民族精神和以改革创新为核心的时代精神， 培育和践行社会主义核心价值观；树立正确的历史观、民族观、国家观和文化观；塑造健全的人格，养成职业精神，培养德智体美劳全面发展的社会主义建设者和接班人。</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6</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语文</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依据教育部《中等职业学校公共基础课课程方案》开设，语文课程对于全面贯彻党的教育方针，落实立德树人根本任务，发展素质教育，推进教育公平，培养德智体美劳全面发展的社会主义建设者和接班人具有重要作用。是在义务教育的基础上，进一步培养学生掌握基础知识和基本技能，强化关键能力，使学生具有较强的语言文字运用能力、思维能力和审美能力，传承和弘扬中华优秀文化，接受人类进步文化，汲取人类文明优秀成果，形成良好的思想道德品质、科学素养和人文素养， 为学生学好专业知识与技能，提高就业创业能力和终身发展能力，成为全面发展的高素质劳动者和技术技能人才奠定基础。</w:t>
            </w:r>
          </w:p>
          <w:p>
            <w:pPr>
              <w:spacing w:line="240" w:lineRule="atLeast"/>
              <w:ind w:firstLine="0" w:firstLineChars="0"/>
              <w:rPr>
                <w:rFonts w:hint="eastAsia" w:ascii="仿宋" w:hAnsi="仿宋"/>
                <w:color w:val="auto"/>
                <w:szCs w:val="32"/>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7</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数学</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依据教育部《中等职业学校公共基础课课程方案》开设，中职数学课程是使中等职业学校学生获得进一步学习和职业发展所必需的数学知识、数学技能、数学方法、数学思想和活动经验；具备中 等职业学校数学学科核心素养，形成在继续学习和未来工作中运用数学知识和经验发现问题的意识、运用数学的思想方法和工具解决问题的能力；具备一定的科 学精神和工匠精神，养成良好的道德品质，增强创新意识，成为德智体美劳全面发展的高素质劳动者和技术技能人才。</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8</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英语</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》开设，中职英语课程是在义务教育基础上，帮助学生进一步学习语 言基础知识，提高听、说、读、写等语言技能，发展中等职业学校英语学科核心 素养；引导学生在真实情境中开展语言实践活动，认识文化的多样性，形成开放 包容的态度，发展健康的审美情趣；理解思维差异，增强国际理解，坚定文化自 信；帮助学生树立正确的世界观、人生观和价值观，自觉践行社会主义核心价值 观，成为德智体美劳全面发展的高素质劳动者和技术技能人才。</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9</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艺术</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eastAsia="zh-CN"/>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w:t>
            </w:r>
            <w:r>
              <w:rPr>
                <w:rFonts w:hint="eastAsia" w:ascii="仿宋" w:hAnsi="仿宋"/>
                <w:color w:val="auto"/>
                <w:szCs w:val="32"/>
                <w:lang w:eastAsia="zh-CN"/>
              </w:rPr>
              <w:t>本</w:t>
            </w:r>
            <w:r>
              <w:rPr>
                <w:rFonts w:hint="eastAsia" w:ascii="仿宋" w:hAnsi="仿宋"/>
                <w:color w:val="auto"/>
                <w:szCs w:val="32"/>
              </w:rPr>
              <w:t>课程包含音乐、美 术、舞蹈、设计、工艺、戏剧、影视等艺术门类的综合性课程，与义务教育阶段 艺术相关课程相衔接，具有思想性、民族性、时代性、人文性、审美性和实践性, 是中等职业学校实施美育的基本途径。课程坚持立德树人，充分发挥艺术学科独特的育人功 能，以美育人，以文化人，以情动人，提高学生的审美和人文素养，积极引导学 生主动参与艺术学习和实践，进一步积累和掌握艺术基础知识、基本技能和方法, 培养学生感受美、鉴赏美、表现美、创造美的能力，帮助学生塑造美好心灵，健 全健康人格，厚植民族情感，增进文化认同，坚定文化自信，成为德智体美劳全 面发展的高素质劳动者和技术技能人才。</w:t>
            </w:r>
          </w:p>
          <w:p>
            <w:pPr>
              <w:spacing w:line="240" w:lineRule="atLeast"/>
              <w:ind w:firstLine="0" w:firstLineChars="0"/>
              <w:rPr>
                <w:rFonts w:hint="eastAsia" w:ascii="仿宋" w:hAnsi="仿宋"/>
                <w:color w:val="auto"/>
                <w:szCs w:val="32"/>
                <w:lang w:eastAsia="zh-CN"/>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10</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信息技术</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eastAsia="zh-CN"/>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w:t>
            </w:r>
            <w:r>
              <w:rPr>
                <w:rFonts w:hint="eastAsia" w:ascii="仿宋" w:hAnsi="仿宋"/>
                <w:color w:val="auto"/>
                <w:szCs w:val="32"/>
                <w:lang w:eastAsia="zh-CN"/>
              </w:rPr>
              <w:t>，</w:t>
            </w:r>
            <w:r>
              <w:rPr>
                <w:rFonts w:hint="eastAsia" w:ascii="仿宋" w:hAnsi="仿宋"/>
                <w:color w:val="auto"/>
                <w:szCs w:val="32"/>
              </w:rPr>
              <w:t>学生通过对 信息技术基础知识与技能的学习，有助于增强信息意识、发展计算思维、提高数 字化学习与创新能力、树立正确的信息社会价值观和责任感，培养符合时代要求 的信息素养与适应职业发展需要的信息能力。</w:t>
            </w:r>
            <w:r>
              <w:rPr>
                <w:rFonts w:hint="eastAsia" w:ascii="仿宋" w:hAnsi="仿宋"/>
                <w:color w:val="auto"/>
                <w:szCs w:val="32"/>
                <w:lang w:eastAsia="zh-CN"/>
              </w:rPr>
              <w:t>本</w:t>
            </w:r>
            <w:r>
              <w:rPr>
                <w:rFonts w:hint="eastAsia" w:ascii="仿宋" w:hAnsi="仿宋"/>
                <w:color w:val="auto"/>
                <w:szCs w:val="32"/>
              </w:rPr>
              <w:t>课程的任务是全面贯彻党的教育方针，落实立德树人 根本任务，满足国家信息化发展战略对人才培养的要求，围绕中等职业学校信息 技术学科核心素养，吸纳相关领域的前沿成果，引导学生通过对信息技术知识与 技能的学习和应用实践，增强信息意识，掌握信息化环境中生产、生活与学习技 能，提高参与信息社会的责任感与行为能力，为就业和未来发展奠定基础，成为 德智体美^^全面发展的高素质劳动者和技术技能人才。</w:t>
            </w:r>
            <w:r>
              <w:rPr>
                <w:rFonts w:hint="eastAsia" w:ascii="仿宋" w:hAnsi="仿宋"/>
                <w:color w:val="auto"/>
                <w:szCs w:val="32"/>
                <w:lang w:eastAsia="zh-CN"/>
              </w:rPr>
              <w:t xml:space="preserve">   </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11</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体育与健康</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eastAsia="zh-CN"/>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》开设，本课程 是以身体练习为主要手段，以体育与健康的知识、技能和方法的传授为主要内 容，以培养中等职业学校学生的体育与健康学科核心素养和促进学生身心健康 发展为主要目标的综合性课程。通过传授体育与健康的知识、技能和方法，提高学生的体育运动能 力，培养运动爱好和专长，使学生养成终身体育锻炼的习惯，形成健康的行为 与生活方式，健全人格，强健体魄，具备身心健康和职业生涯发展必备的体育 与健康学科核心素养，引领</w:t>
            </w:r>
            <w:r>
              <w:rPr>
                <w:rFonts w:hint="eastAsia" w:ascii="仿宋" w:hAnsi="仿宋"/>
                <w:color w:val="auto"/>
                <w:szCs w:val="32"/>
                <w:lang w:eastAsia="zh-CN"/>
              </w:rPr>
              <w:t>学生</w:t>
            </w:r>
            <w:r>
              <w:rPr>
                <w:rFonts w:hint="eastAsia" w:ascii="仿宋" w:hAnsi="仿宋"/>
                <w:color w:val="auto"/>
                <w:szCs w:val="32"/>
              </w:rPr>
              <w:t>成为德智体美劳全面发展的高素质劳动者和技术 技能人才</w:t>
            </w:r>
            <w:r>
              <w:rPr>
                <w:rFonts w:hint="eastAsia" w:ascii="仿宋" w:hAnsi="仿宋"/>
                <w:color w:val="auto"/>
                <w:szCs w:val="32"/>
                <w:lang w:eastAsia="zh-CN"/>
              </w:rPr>
              <w:t>。</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12</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劳动法（选修）</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本课程为选修课程，以“劳动法是维护劳动者权益之法”为基本理念，贯穿整个教学和学习过程，从劳动法的基本理论出发，学习劳动法律关系、促进就业与劳动保护、社会保险、劳动合同、工资工时、劳动保护制度等内容，通过学习，使学生掌握劳动法的基本制度和内容，培养学生运用劳动法知识分析和解决现实生活中实际问题的能力，懂得劳动者在劳动者享有的权利和承担的义务，依法签订和履行劳动合同，依法保护自己的合法权益。</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13</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国学（选修）</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本课程是为适应现代社会对全面协调发展的人才的需求而开设的公共选修课程。以中国传统文化为内容，旨在普及国学知识，提升国学素养，提振民族自信，增强民族凝聚力，为学生的未来发展提供人文素养的支持和不竭的动力，为培养全面发展的高素质人才打下坚实基础，增强其就业竞争力和社会适应能力。课程总体要求是通过教学，使学生了解国学基本知识，了解对国人影响深远的国学思想和文化，使学生具备自觉追求高雅、仁善和礼义的能力，形成以崇德尚礼、尊师重道、博爱仁善为基本内容的人文素养。</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民族文化（八桂文化）（选修）</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本课程是一门中等职业学校人文素质课程，是公共基础选修课。本课程以文化鉴赏为切入点，向学生们介绍广西独特的文化现象，引导学生透过这些具体的、表层的文化现象理解和把握广西文化的深层内涵和价值，并获得个体独特的感受和体验。本课程旨在用健康向上的文化来陶冶学生的思想情操，提高他们的思想认识水平，提升人文精神境界。培养学生对本土文化的认知和感情，了解本土文化发展的历史、八桂大地的风土人情等，丰富学生的人文知识，激发学生热爱祖国热爱家乡的家国情怀。</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8444" w:type="dxa"/>
            <w:gridSpan w:val="3"/>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合计</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1098</w:t>
            </w:r>
          </w:p>
        </w:tc>
      </w:tr>
    </w:tbl>
    <w:p>
      <w:pPr>
        <w:ind w:firstLine="640"/>
      </w:pPr>
    </w:p>
    <w:p>
      <w:pPr>
        <w:pStyle w:val="2"/>
        <w:numPr>
          <w:ilvl w:val="0"/>
          <w:numId w:val="2"/>
        </w:numPr>
        <w:ind w:firstLine="643"/>
        <w:rPr>
          <w:rFonts w:hint="eastAsia" w:ascii="楷体" w:hAnsi="楷体" w:eastAsia="楷体" w:cs="楷体"/>
        </w:rPr>
      </w:pPr>
      <w:r>
        <w:rPr>
          <w:rFonts w:hint="eastAsia" w:ascii="楷体" w:hAnsi="楷体" w:eastAsia="楷体" w:cs="楷体"/>
        </w:rPr>
        <w:t>专业课程</w:t>
      </w:r>
    </w:p>
    <w:p>
      <w:pPr>
        <w:pStyle w:val="4"/>
        <w:ind w:firstLine="643"/>
        <w:rPr>
          <w:rFonts w:hint="eastAsia" w:ascii="仿宋" w:hAnsi="仿宋" w:eastAsia="仿宋" w:cs="仿宋"/>
        </w:rPr>
      </w:pPr>
      <w:r>
        <w:rPr>
          <w:rFonts w:hint="eastAsia" w:ascii="仿宋" w:hAnsi="仿宋" w:eastAsia="仿宋" w:cs="仿宋"/>
        </w:rPr>
        <w:t>1.专业基础课</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537"/>
        <w:gridCol w:w="5527"/>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0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序号</w:t>
            </w:r>
          </w:p>
        </w:tc>
        <w:tc>
          <w:tcPr>
            <w:tcW w:w="163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课程名称</w:t>
            </w:r>
          </w:p>
        </w:tc>
        <w:tc>
          <w:tcPr>
            <w:tcW w:w="5934"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主要教学内容和要求</w:t>
            </w:r>
          </w:p>
        </w:tc>
        <w:tc>
          <w:tcPr>
            <w:tcW w:w="11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1</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电子商务基础</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专业核心课程，其任务以电子商务业务流程为主线，系统讲述电子商务的基本概念、电子商务模式、网络支付、物流信息、电子商务安全、网络推广、电子商务法规等基础知识。</w:t>
            </w:r>
          </w:p>
        </w:tc>
        <w:tc>
          <w:tcPr>
            <w:tcW w:w="11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2</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营销基础</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通过教学使学生掌握该课程的基本知识和分析方法，使学生对市场营销的基本内容有全面、系统的了解，并能结合实际分析与应用，适应以电子商务为核心的网络经济发展形势对人才的要求，为以后其他课程的学习和工作奠定一个坚实的基础。</w:t>
            </w:r>
          </w:p>
        </w:tc>
        <w:tc>
          <w:tcPr>
            <w:tcW w:w="1108" w:type="dxa"/>
            <w:vAlign w:val="center"/>
          </w:tcPr>
          <w:p>
            <w:pPr>
              <w:spacing w:line="240" w:lineRule="atLeast"/>
              <w:ind w:firstLine="0" w:firstLineChars="0"/>
              <w:jc w:val="center"/>
              <w:rPr>
                <w:rFonts w:ascii="仿宋"/>
                <w:color w:val="auto"/>
                <w:szCs w:val="32"/>
              </w:rPr>
            </w:pPr>
            <w:r>
              <w:rPr>
                <w:rFonts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3</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营销文案</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通过课程的学习，以培养学生营销意识，掌握策划知识；从营销的角度，培养学生网站策划、网络营销策划以及传统营销策划的能力；提高学生的策划素质和营销文案的写作能力。</w:t>
            </w:r>
          </w:p>
        </w:tc>
        <w:tc>
          <w:tcPr>
            <w:tcW w:w="11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4</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企业沙盘</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本课程通过学生实验和实战演练全面地体验了财务经理、运营经理、市场经理、销售经理、人力资源经理、研发经理等角色职能，提高企业运营能力，洞悉企业成功的重要因素，了解企业战略与经营应如何密切配合，学会提升企业的运营效率，以及创造价值的能力，掌握衡量企业运营状况的指标与方法，并能在企业的战略与运营中不断创新。</w:t>
            </w:r>
          </w:p>
        </w:tc>
        <w:tc>
          <w:tcPr>
            <w:tcW w:w="1108" w:type="dxa"/>
            <w:vAlign w:val="center"/>
          </w:tcPr>
          <w:p>
            <w:pPr>
              <w:spacing w:line="240" w:lineRule="atLeast"/>
              <w:ind w:firstLine="0" w:firstLineChars="0"/>
              <w:jc w:val="center"/>
              <w:rPr>
                <w:rFonts w:ascii="仿宋"/>
                <w:color w:val="auto"/>
                <w:szCs w:val="32"/>
              </w:rPr>
            </w:pPr>
            <w:r>
              <w:rPr>
                <w:rFonts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5</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消费者心理学</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通过该学习领域的学习使学生熟练掌握营销活动过程中消费心理的基本内容、方法和工具，使学生具备较高的实践学习能力，同时培养学生形成优秀营销人员所必备的自信心、良好的语言表达能力，并引导学生在系统性思维的基础上，形成一定的发散思维、逆向思维以及创造性思维能力，最终提高营销专业综合应用技能。</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6</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lang w:val="en-US" w:eastAsia="zh-CN"/>
              </w:rPr>
              <w:t>电子商务客服（呼叫中心客户服务与管理方向）</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技能方向课程，其任务是使学生了解在线客户服务的流程和方法，掌握各种网络通信工具的使用方法，能利用网络通信工具为客户提供在线服务，并能处理客户投诉。</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网络营销务实</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使学生掌握有关网络营销的基本概念和基本理论，了解网络营销的基本原理和技术，熟悉网络营销常用的方法，重点掌握搜索引擎营销、企业网站营销、社会化营销、微信营销等，培养学生全网整合营销的运作能力。</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eastAsia" w:ascii="仿宋" w:hAnsi="仿宋" w:eastAsia="仿宋" w:cs="Times New Roman"/>
                <w:color w:val="auto"/>
                <w:kern w:val="2"/>
                <w:sz w:val="32"/>
                <w:szCs w:val="32"/>
                <w:lang w:val="en-US" w:eastAsia="zh-CN" w:bidi="ar-SA"/>
              </w:rPr>
            </w:pPr>
            <w:r>
              <w:rPr>
                <w:rFonts w:hint="eastAsia" w:ascii="仿宋" w:hAnsi="仿宋"/>
                <w:color w:val="auto"/>
                <w:szCs w:val="32"/>
                <w:lang w:val="en-US" w:eastAsia="zh-CN"/>
              </w:rPr>
              <w:t>8</w:t>
            </w:r>
          </w:p>
        </w:tc>
        <w:tc>
          <w:tcPr>
            <w:tcW w:w="1638" w:type="dxa"/>
            <w:vAlign w:val="center"/>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移动电子商务</w:t>
            </w:r>
          </w:p>
        </w:tc>
        <w:tc>
          <w:tcPr>
            <w:tcW w:w="5934" w:type="dxa"/>
            <w:vAlign w:val="top"/>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学习该课程以电子商务基础、计算机及应用、网络基础等课程为基础进行学习，同时为今后走上实际工作岗位，为企业提供好的移动商务解决方案起到很好的实践应用作用。旨在通过提高学生移动通信基础知识，熟悉移动电子商务产品和服务，更好地培养学生对移动电子商务业务的管理和服务能力。</w:t>
            </w:r>
          </w:p>
        </w:tc>
        <w:tc>
          <w:tcPr>
            <w:tcW w:w="1108" w:type="dxa"/>
            <w:vAlign w:val="center"/>
          </w:tcPr>
          <w:p>
            <w:pPr>
              <w:spacing w:line="240" w:lineRule="atLeast"/>
              <w:ind w:firstLine="0" w:firstLineChars="0"/>
              <w:jc w:val="center"/>
              <w:rPr>
                <w:rFonts w:ascii="仿宋" w:hAnsi="Calibri" w:eastAsia="仿宋" w:cs="Times New Roman"/>
                <w:color w:val="auto"/>
                <w:kern w:val="2"/>
                <w:sz w:val="32"/>
                <w:szCs w:val="32"/>
                <w:lang w:val="en-US" w:eastAsia="zh-CN" w:bidi="ar-SA"/>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eastAsia"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9</w:t>
            </w:r>
          </w:p>
        </w:tc>
        <w:tc>
          <w:tcPr>
            <w:tcW w:w="1638" w:type="dxa"/>
            <w:vAlign w:val="center"/>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网上开店实务</w:t>
            </w:r>
          </w:p>
        </w:tc>
        <w:tc>
          <w:tcPr>
            <w:tcW w:w="5934" w:type="dxa"/>
            <w:vAlign w:val="top"/>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本课程是中等职业学校电子商务专业学生必修的一门技能方向课程，其任务是使学生熟悉网络开店的基本流程，能运用所学知识实际开办网店，并能进行网店的运营与管理。</w:t>
            </w:r>
          </w:p>
        </w:tc>
        <w:tc>
          <w:tcPr>
            <w:tcW w:w="1108" w:type="dxa"/>
            <w:vAlign w:val="center"/>
          </w:tcPr>
          <w:p>
            <w:pPr>
              <w:spacing w:line="240" w:lineRule="atLeast"/>
              <w:ind w:firstLine="0" w:firstLineChars="0"/>
              <w:jc w:val="center"/>
              <w:rPr>
                <w:rFonts w:hint="default"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default"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10</w:t>
            </w:r>
          </w:p>
        </w:tc>
        <w:tc>
          <w:tcPr>
            <w:tcW w:w="1638" w:type="dxa"/>
            <w:vAlign w:val="center"/>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商品图片处理</w:t>
            </w:r>
          </w:p>
        </w:tc>
        <w:tc>
          <w:tcPr>
            <w:tcW w:w="5934" w:type="dxa"/>
            <w:vAlign w:val="top"/>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使学生了解数码照片处理的基本方法，掌握数码照片的后期处理技能，能综合运用所学知识创作素材、修饰数码照片、制作图像特效，创作广告设计图、宣传海报等，提高运用</w:t>
            </w:r>
            <w:r>
              <w:rPr>
                <w:rFonts w:ascii="仿宋" w:hAnsi="仿宋"/>
                <w:color w:val="auto"/>
                <w:szCs w:val="32"/>
              </w:rPr>
              <w:t>photoshop</w:t>
            </w:r>
            <w:r>
              <w:rPr>
                <w:rFonts w:hint="eastAsia" w:ascii="仿宋" w:hAnsi="仿宋"/>
                <w:color w:val="auto"/>
                <w:szCs w:val="32"/>
              </w:rPr>
              <w:t>图形设计软件进行平面图像设计的能力。</w:t>
            </w:r>
          </w:p>
        </w:tc>
        <w:tc>
          <w:tcPr>
            <w:tcW w:w="1108" w:type="dxa"/>
            <w:vAlign w:val="center"/>
          </w:tcPr>
          <w:p>
            <w:pPr>
              <w:spacing w:line="240" w:lineRule="atLeast"/>
              <w:ind w:firstLine="0" w:firstLineChars="0"/>
              <w:jc w:val="center"/>
              <w:rPr>
                <w:rFonts w:hint="default"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0" w:type="dxa"/>
            <w:gridSpan w:val="3"/>
            <w:vAlign w:val="center"/>
          </w:tcPr>
          <w:p>
            <w:pPr>
              <w:spacing w:line="240" w:lineRule="atLeast"/>
              <w:ind w:firstLine="0" w:firstLineChars="0"/>
              <w:jc w:val="center"/>
              <w:rPr>
                <w:rFonts w:ascii="仿宋"/>
                <w:color w:val="auto"/>
                <w:szCs w:val="32"/>
              </w:rPr>
            </w:pPr>
            <w:r>
              <w:rPr>
                <w:rFonts w:hint="eastAsia" w:ascii="仿宋" w:hAnsi="仿宋"/>
                <w:color w:val="auto"/>
                <w:szCs w:val="32"/>
              </w:rPr>
              <w:t>合计</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648</w:t>
            </w:r>
          </w:p>
        </w:tc>
      </w:tr>
    </w:tbl>
    <w:p>
      <w:pPr>
        <w:pStyle w:val="4"/>
        <w:ind w:firstLine="643"/>
      </w:pPr>
    </w:p>
    <w:p>
      <w:pPr>
        <w:pStyle w:val="4"/>
        <w:ind w:firstLine="643"/>
        <w:rPr>
          <w:rFonts w:hint="eastAsia" w:ascii="仿宋" w:hAnsi="仿宋" w:eastAsia="仿宋" w:cs="仿宋"/>
        </w:rPr>
      </w:pPr>
      <w:r>
        <w:rPr>
          <w:rFonts w:hint="eastAsia" w:ascii="仿宋" w:hAnsi="仿宋" w:eastAsia="仿宋" w:cs="仿宋"/>
        </w:rPr>
        <w:t>2.专业核心课</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38"/>
        <w:gridCol w:w="5491"/>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blHeader/>
          <w:jc w:val="center"/>
        </w:trPr>
        <w:tc>
          <w:tcPr>
            <w:tcW w:w="10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序号</w:t>
            </w:r>
          </w:p>
        </w:tc>
        <w:tc>
          <w:tcPr>
            <w:tcW w:w="163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课程名称</w:t>
            </w:r>
          </w:p>
        </w:tc>
        <w:tc>
          <w:tcPr>
            <w:tcW w:w="5490"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主要教学内容和要求</w:t>
            </w:r>
          </w:p>
        </w:tc>
        <w:tc>
          <w:tcPr>
            <w:tcW w:w="924"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1</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商品拍摄技术</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本课程是中等职业学校电子商务专业学生必修的一门技能方向课程，其任务是使学生掌握商品拍摄的基本方法，能熟练进行商品图片拍摄，并能运用相关计算机软件对商品图片进行美化处理。</w:t>
            </w:r>
          </w:p>
        </w:tc>
        <w:tc>
          <w:tcPr>
            <w:tcW w:w="924"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2</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微创业</w:t>
            </w:r>
          </w:p>
        </w:tc>
        <w:tc>
          <w:tcPr>
            <w:tcW w:w="5490" w:type="dxa"/>
          </w:tcPr>
          <w:p>
            <w:pPr>
              <w:ind w:firstLine="0" w:firstLineChars="0"/>
              <w:rPr>
                <w:rFonts w:ascii="仿宋"/>
                <w:color w:val="auto"/>
                <w:szCs w:val="32"/>
              </w:rPr>
            </w:pPr>
            <w:r>
              <w:rPr>
                <w:rFonts w:hint="eastAsia" w:ascii="仿宋" w:hAnsi="仿宋" w:cs="仿宋"/>
                <w:color w:val="auto"/>
                <w:szCs w:val="32"/>
              </w:rPr>
              <w:t>本课程是顺应新时代的发展要求，以市场变化及其趋势为背景，从企业微观角度出发，运用企业管理新观念，培养学生在微平台的创业意识和创业能力，让学生掌握在微平台创业全过程的理论和实务的一门创业课程。</w:t>
            </w:r>
          </w:p>
        </w:tc>
        <w:tc>
          <w:tcPr>
            <w:tcW w:w="924"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3</w:t>
            </w:r>
          </w:p>
        </w:tc>
        <w:tc>
          <w:tcPr>
            <w:tcW w:w="1638" w:type="dxa"/>
            <w:vAlign w:val="center"/>
          </w:tcPr>
          <w:p>
            <w:pPr>
              <w:spacing w:line="240" w:lineRule="atLeast"/>
              <w:ind w:firstLine="0" w:firstLineChars="0"/>
              <w:rPr>
                <w:rFonts w:ascii="仿宋" w:hAnsi="仿宋"/>
                <w:color w:val="auto"/>
                <w:szCs w:val="32"/>
              </w:rPr>
            </w:pPr>
            <w:r>
              <w:rPr>
                <w:rFonts w:hint="eastAsia" w:ascii="仿宋" w:hAnsi="仿宋"/>
                <w:color w:val="auto"/>
                <w:szCs w:val="32"/>
              </w:rPr>
              <w:t>跨境电子商务</w:t>
            </w:r>
          </w:p>
        </w:tc>
        <w:tc>
          <w:tcPr>
            <w:tcW w:w="5490" w:type="dxa"/>
          </w:tcPr>
          <w:p>
            <w:pPr>
              <w:spacing w:line="240" w:lineRule="atLeast"/>
              <w:ind w:firstLine="0" w:firstLineChars="0"/>
              <w:rPr>
                <w:rFonts w:ascii="仿宋" w:hAnsi="仿宋"/>
                <w:color w:val="auto"/>
                <w:szCs w:val="32"/>
              </w:rPr>
            </w:pPr>
            <w:r>
              <w:rPr>
                <w:rFonts w:hint="eastAsia" w:ascii="仿宋" w:hAnsi="仿宋"/>
                <w:color w:val="auto"/>
                <w:szCs w:val="32"/>
              </w:rPr>
              <w:t>本课程是电子商务基础课程的延伸，以物联网、跨境电商、人工智能等不同电商形态快速发展为背景，系统的介绍跨境电商基本慨念、典型跨境</w:t>
            </w:r>
            <w:r>
              <w:rPr>
                <w:rFonts w:ascii="仿宋" w:hAnsi="仿宋"/>
                <w:color w:val="auto"/>
                <w:szCs w:val="32"/>
              </w:rPr>
              <w:t>B2B</w:t>
            </w:r>
            <w:r>
              <w:rPr>
                <w:rFonts w:hint="eastAsia" w:ascii="仿宋" w:hAnsi="仿宋"/>
                <w:color w:val="auto"/>
                <w:szCs w:val="32"/>
              </w:rPr>
              <w:t>平台、跨境</w:t>
            </w:r>
            <w:r>
              <w:rPr>
                <w:rFonts w:ascii="仿宋" w:hAnsi="仿宋"/>
                <w:color w:val="auto"/>
                <w:szCs w:val="32"/>
              </w:rPr>
              <w:t>B2C</w:t>
            </w:r>
            <w:r>
              <w:rPr>
                <w:rFonts w:hint="eastAsia" w:ascii="仿宋" w:hAnsi="仿宋"/>
                <w:color w:val="auto"/>
                <w:szCs w:val="32"/>
              </w:rPr>
              <w:t>平台、跨境电商从业基本技能、跨境电商风险控制等基础知识。</w:t>
            </w:r>
          </w:p>
        </w:tc>
        <w:tc>
          <w:tcPr>
            <w:tcW w:w="924"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4</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网店装修</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本课程是中等职业学校电子商务专业学生必修的一门技能方向课程，其任务是使学生熟悉网络装修的基本要求，能运用所学知识实际网店装修，有营销效果，满足客户需求。</w:t>
            </w:r>
          </w:p>
        </w:tc>
        <w:tc>
          <w:tcPr>
            <w:tcW w:w="924"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5</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网络媒体推广</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本课程是电子商务专业必修课程，实践课程。以</w:t>
            </w:r>
            <w:r>
              <w:rPr>
                <w:rFonts w:ascii="仿宋" w:hAnsi="仿宋"/>
                <w:color w:val="auto"/>
                <w:szCs w:val="32"/>
              </w:rPr>
              <w:t>Premiere</w:t>
            </w:r>
            <w:r>
              <w:rPr>
                <w:rFonts w:hint="eastAsia" w:ascii="仿宋" w:hAnsi="仿宋"/>
                <w:color w:val="auto"/>
                <w:szCs w:val="32"/>
              </w:rPr>
              <w:t>软件和</w:t>
            </w:r>
            <w:r>
              <w:rPr>
                <w:rFonts w:ascii="仿宋" w:hAnsi="仿宋"/>
                <w:color w:val="auto"/>
                <w:szCs w:val="32"/>
              </w:rPr>
              <w:t>flash</w:t>
            </w:r>
            <w:r>
              <w:rPr>
                <w:rFonts w:hint="eastAsia" w:ascii="仿宋" w:hAnsi="仿宋"/>
                <w:color w:val="auto"/>
                <w:szCs w:val="32"/>
              </w:rPr>
              <w:t>软件的使用为该课程的主要内容，以项目任务为载体，从学习者的角度出发，结合实际应用进行课程的教学。科学设置课程，使教学内容与职业岗位和工作任务要求相一致。通过教学让学生熟练掌握影视剪辑、编辑的流程、方法，培养灵活操作、使用</w:t>
            </w:r>
            <w:r>
              <w:rPr>
                <w:rFonts w:ascii="仿宋" w:hAnsi="仿宋"/>
                <w:color w:val="auto"/>
                <w:szCs w:val="32"/>
              </w:rPr>
              <w:t>Premiere</w:t>
            </w:r>
            <w:r>
              <w:rPr>
                <w:rFonts w:hint="eastAsia" w:ascii="仿宋" w:hAnsi="仿宋"/>
                <w:color w:val="auto"/>
                <w:szCs w:val="32"/>
              </w:rPr>
              <w:t>软件各项功能命令进行多种效果制作的能力。能够利用软件制作商品营销视频、制作微电影等，培养具有良好敬业精神和职业道德的影视后期制作人才，更好地为电子商务专业服务。</w:t>
            </w:r>
          </w:p>
        </w:tc>
        <w:tc>
          <w:tcPr>
            <w:tcW w:w="924"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color w:val="auto"/>
                <w:szCs w:val="32"/>
                <w:lang w:val="en-US" w:eastAsia="zh-CN"/>
              </w:rPr>
              <w:t>6</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lang w:val="en-US" w:eastAsia="zh-CN"/>
              </w:rPr>
              <w:t>新媒体运营</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通过现代化互联网手段，通过利用微信、微博、贴吧等新兴媒体平台工具进行产品宣传、推广和营销的一系列运营手段。通过策划品牌相关的优质、高度传播性的内容和线上活动，向客户广泛或者精准推送消息，提高参与度和知名度，从而充分利用粉丝经济，达到相应营销目的。</w:t>
            </w:r>
          </w:p>
        </w:tc>
        <w:tc>
          <w:tcPr>
            <w:tcW w:w="924"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36" w:type="dxa"/>
            <w:gridSpan w:val="3"/>
            <w:vAlign w:val="center"/>
          </w:tcPr>
          <w:p>
            <w:pPr>
              <w:spacing w:line="240" w:lineRule="atLeast"/>
              <w:ind w:firstLine="0" w:firstLineChars="0"/>
              <w:jc w:val="center"/>
              <w:rPr>
                <w:rFonts w:ascii="仿宋"/>
                <w:color w:val="auto"/>
                <w:szCs w:val="32"/>
              </w:rPr>
            </w:pPr>
            <w:r>
              <w:rPr>
                <w:rFonts w:hint="eastAsia" w:ascii="仿宋" w:hAnsi="仿宋"/>
                <w:color w:val="auto"/>
                <w:szCs w:val="32"/>
              </w:rPr>
              <w:t>合计</w:t>
            </w:r>
          </w:p>
        </w:tc>
        <w:tc>
          <w:tcPr>
            <w:tcW w:w="924" w:type="dxa"/>
            <w:vAlign w:val="center"/>
          </w:tcPr>
          <w:p>
            <w:pPr>
              <w:spacing w:line="240" w:lineRule="atLeast"/>
              <w:ind w:firstLine="0" w:firstLineChars="0"/>
              <w:jc w:val="center"/>
              <w:rPr>
                <w:rFonts w:hint="eastAsia" w:ascii="仿宋" w:eastAsia="仿宋"/>
                <w:color w:val="auto"/>
                <w:szCs w:val="32"/>
                <w:lang w:eastAsia="zh-CN"/>
              </w:rPr>
            </w:pPr>
            <w:r>
              <w:rPr>
                <w:rFonts w:hint="eastAsia" w:ascii="仿宋" w:hAnsi="仿宋"/>
                <w:color w:val="auto"/>
                <w:szCs w:val="32"/>
                <w:lang w:val="en-US" w:eastAsia="zh-CN"/>
              </w:rPr>
              <w:t>432</w:t>
            </w:r>
          </w:p>
        </w:tc>
      </w:tr>
    </w:tbl>
    <w:p>
      <w:pPr>
        <w:pStyle w:val="4"/>
        <w:ind w:firstLine="643"/>
        <w:rPr>
          <w:rFonts w:hint="eastAsia" w:ascii="仿宋" w:hAnsi="仿宋" w:eastAsia="仿宋" w:cs="仿宋"/>
        </w:rPr>
      </w:pPr>
      <w:r>
        <w:rPr>
          <w:rFonts w:hint="eastAsia" w:ascii="仿宋" w:hAnsi="仿宋" w:eastAsia="仿宋" w:cs="仿宋"/>
        </w:rPr>
        <w:t>3.选修课</w:t>
      </w:r>
    </w:p>
    <w:tbl>
      <w:tblPr>
        <w:tblStyle w:val="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38"/>
        <w:gridCol w:w="549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blHeader/>
          <w:jc w:val="center"/>
        </w:trPr>
        <w:tc>
          <w:tcPr>
            <w:tcW w:w="10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序号</w:t>
            </w:r>
          </w:p>
        </w:tc>
        <w:tc>
          <w:tcPr>
            <w:tcW w:w="163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课程名称</w:t>
            </w:r>
          </w:p>
        </w:tc>
        <w:tc>
          <w:tcPr>
            <w:tcW w:w="5490"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主要教学内容和要求</w:t>
            </w:r>
          </w:p>
        </w:tc>
        <w:tc>
          <w:tcPr>
            <w:tcW w:w="924"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eastAsia" w:ascii="仿宋" w:hAnsi="仿宋" w:eastAsia="仿宋"/>
                <w:color w:val="auto"/>
                <w:szCs w:val="32"/>
                <w:lang w:eastAsia="zh-CN"/>
              </w:rPr>
            </w:pPr>
            <w:r>
              <w:rPr>
                <w:rFonts w:hint="eastAsia" w:ascii="仿宋" w:hAnsi="仿宋"/>
                <w:color w:val="auto"/>
                <w:szCs w:val="32"/>
                <w:lang w:val="en-US" w:eastAsia="zh-CN"/>
              </w:rPr>
              <w:t>1</w:t>
            </w:r>
          </w:p>
        </w:tc>
        <w:tc>
          <w:tcPr>
            <w:tcW w:w="1638" w:type="dxa"/>
            <w:vAlign w:val="center"/>
          </w:tcPr>
          <w:p>
            <w:pPr>
              <w:spacing w:line="240" w:lineRule="atLeast"/>
              <w:ind w:firstLine="0" w:firstLineChars="0"/>
              <w:rPr>
                <w:rFonts w:hint="eastAsia" w:ascii="仿宋" w:hAnsi="仿宋"/>
                <w:color w:val="auto"/>
                <w:szCs w:val="32"/>
              </w:rPr>
            </w:pPr>
            <w:r>
              <w:rPr>
                <w:rFonts w:hint="eastAsia" w:ascii="仿宋" w:hAnsi="仿宋"/>
                <w:color w:val="auto"/>
                <w:szCs w:val="32"/>
              </w:rPr>
              <w:t>电子商务物流</w:t>
            </w:r>
          </w:p>
        </w:tc>
        <w:tc>
          <w:tcPr>
            <w:tcW w:w="5490" w:type="dxa"/>
          </w:tcPr>
          <w:p>
            <w:pPr>
              <w:spacing w:line="240" w:lineRule="atLeast"/>
              <w:ind w:firstLine="0" w:firstLineChars="0"/>
              <w:rPr>
                <w:rFonts w:hint="eastAsia" w:ascii="仿宋" w:hAnsi="仿宋"/>
                <w:color w:val="auto"/>
                <w:szCs w:val="32"/>
              </w:rPr>
            </w:pPr>
            <w:r>
              <w:rPr>
                <w:rFonts w:hint="eastAsia" w:ascii="仿宋" w:hAnsi="仿宋"/>
                <w:color w:val="auto"/>
                <w:szCs w:val="32"/>
              </w:rPr>
              <w:t>电子商务物流是本专业的选修课程，主要内容包括物流的概念、物流的功能与目标、物流与生产及其他流通活动的关系、物流合理化方法、影响电子商务物流系统的因素、电子商务物流系统的建立模式等内容。其任务是以物流管理、客户服务等职业岗位业务处理能力培养为重点，培养学生在电子商务物流方面的实际应用能力，养成基本的物流职业素养，为将来从事电子商务物流工作奠定坚实的基础。</w:t>
            </w:r>
          </w:p>
        </w:tc>
        <w:tc>
          <w:tcPr>
            <w:tcW w:w="924" w:type="dxa"/>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08" w:type="dxa"/>
            <w:vAlign w:val="center"/>
          </w:tcPr>
          <w:p>
            <w:pPr>
              <w:spacing w:line="240" w:lineRule="atLeast"/>
              <w:ind w:firstLine="0" w:firstLineChars="0"/>
              <w:jc w:val="center"/>
              <w:rPr>
                <w:rFonts w:hint="default" w:ascii="仿宋" w:hAnsi="仿宋" w:eastAsia="仿宋"/>
                <w:color w:val="auto"/>
                <w:szCs w:val="32"/>
                <w:lang w:val="en-US" w:eastAsia="zh-CN"/>
              </w:rPr>
            </w:pPr>
            <w:r>
              <w:rPr>
                <w:rFonts w:hint="eastAsia" w:ascii="仿宋" w:hAnsi="仿宋"/>
                <w:color w:val="auto"/>
                <w:szCs w:val="32"/>
                <w:lang w:val="en-US" w:eastAsia="zh-CN"/>
              </w:rPr>
              <w:t>2</w:t>
            </w:r>
          </w:p>
        </w:tc>
        <w:tc>
          <w:tcPr>
            <w:tcW w:w="1638" w:type="dxa"/>
            <w:vAlign w:val="center"/>
          </w:tcPr>
          <w:p>
            <w:pPr>
              <w:spacing w:line="240" w:lineRule="atLeast"/>
              <w:ind w:firstLine="0" w:firstLineChars="0"/>
              <w:rPr>
                <w:rFonts w:hint="eastAsia" w:ascii="仿宋" w:hAnsi="仿宋"/>
                <w:color w:val="auto"/>
                <w:szCs w:val="32"/>
              </w:rPr>
            </w:pPr>
            <w:r>
              <w:rPr>
                <w:rFonts w:hint="eastAsia" w:ascii="仿宋" w:hAnsi="仿宋"/>
                <w:color w:val="auto"/>
                <w:szCs w:val="32"/>
              </w:rPr>
              <w:t>营销与口才</w:t>
            </w:r>
          </w:p>
        </w:tc>
        <w:tc>
          <w:tcPr>
            <w:tcW w:w="5490" w:type="dxa"/>
          </w:tcPr>
          <w:p>
            <w:pPr>
              <w:spacing w:line="240" w:lineRule="atLeast"/>
              <w:ind w:firstLine="0" w:firstLineChars="0"/>
              <w:rPr>
                <w:rFonts w:hint="eastAsia" w:ascii="仿宋" w:hAnsi="仿宋"/>
                <w:color w:val="auto"/>
                <w:szCs w:val="32"/>
              </w:rPr>
            </w:pPr>
            <w:r>
              <w:rPr>
                <w:rFonts w:hint="eastAsia" w:ascii="仿宋" w:hAnsi="仿宋"/>
                <w:color w:val="auto"/>
                <w:szCs w:val="32"/>
              </w:rPr>
              <w:t>该课程是电子商务专业的选修课程，其目的是让学生了解成功营销人员的基本特征，掌握营销人员在各种场合的语言技巧，从而增强自信心，树立远大的目标,更好的做好人生的职业生涯规划。</w:t>
            </w:r>
          </w:p>
        </w:tc>
        <w:tc>
          <w:tcPr>
            <w:tcW w:w="924" w:type="dxa"/>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36" w:type="dxa"/>
            <w:gridSpan w:val="3"/>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合计</w:t>
            </w:r>
          </w:p>
        </w:tc>
        <w:tc>
          <w:tcPr>
            <w:tcW w:w="924" w:type="dxa"/>
            <w:vAlign w:val="center"/>
          </w:tcPr>
          <w:p>
            <w:pPr>
              <w:spacing w:line="240" w:lineRule="atLeast"/>
              <w:ind w:firstLine="0" w:firstLineChars="0"/>
              <w:jc w:val="center"/>
              <w:rPr>
                <w:rFonts w:hint="default" w:ascii="仿宋" w:hAnsi="仿宋" w:eastAsia="仿宋"/>
                <w:color w:val="auto"/>
                <w:szCs w:val="32"/>
                <w:lang w:val="en-US" w:eastAsia="zh-CN"/>
              </w:rPr>
            </w:pPr>
            <w:r>
              <w:rPr>
                <w:rFonts w:hint="eastAsia" w:ascii="仿宋" w:hAnsi="仿宋"/>
                <w:color w:val="auto"/>
                <w:szCs w:val="32"/>
                <w:lang w:val="en-US" w:eastAsia="zh-CN"/>
              </w:rPr>
              <w:t>72</w:t>
            </w:r>
          </w:p>
        </w:tc>
      </w:tr>
    </w:tbl>
    <w:p>
      <w:pPr>
        <w:pStyle w:val="4"/>
        <w:ind w:firstLine="643"/>
        <w:rPr>
          <w:rFonts w:hint="eastAsia" w:ascii="仿宋" w:hAnsi="仿宋" w:eastAsia="仿宋" w:cs="仿宋"/>
        </w:rPr>
      </w:pPr>
      <w:r>
        <w:rPr>
          <w:rFonts w:hint="eastAsia" w:ascii="仿宋" w:hAnsi="仿宋" w:eastAsia="仿宋" w:cs="仿宋"/>
        </w:rPr>
        <w:t>4.顶岗实习</w:t>
      </w:r>
    </w:p>
    <w:p>
      <w:pPr>
        <w:ind w:firstLine="640"/>
        <w:rPr>
          <w:rFonts w:hint="eastAsia"/>
        </w:rPr>
      </w:pPr>
      <w:r>
        <w:rPr>
          <w:rFonts w:hint="eastAsia"/>
        </w:rPr>
        <w:t>通过顶岗实习，锻炼学生发挥专业特长解决工作实际问题的能力，使学生能够有机会将理论与实践进行有机结合，全面提高自身能力。学生提前到岗位上去真刀真枪的工作，有效实现学校与社会的“零距离接触”，既能锻炼提高学生的职业技能，又能培养学生吃苦耐劳精神，使学生就业竞争力得以提高。</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七、学时安排</w:t>
      </w:r>
    </w:p>
    <w:p>
      <w:pPr>
        <w:ind w:firstLine="640"/>
        <w:rPr>
          <w:color w:val="000000" w:themeColor="text1"/>
        </w:rPr>
      </w:pPr>
      <w:r>
        <w:rPr>
          <w:rFonts w:hint="eastAsia"/>
          <w:color w:val="000000" w:themeColor="text1"/>
        </w:rPr>
        <w:t>每学年教学时间不少于40周（含复习考试），周学时一般为32，三年总学时数约为3500，顶岗实习一般按每周30小时（1小时折1学时）安排，每学时不少于45分钟。</w:t>
      </w:r>
    </w:p>
    <w:p>
      <w:pPr>
        <w:ind w:firstLine="640"/>
        <w:rPr>
          <w:color w:val="000000" w:themeColor="text1"/>
        </w:rPr>
      </w:pPr>
      <w:r>
        <w:rPr>
          <w:rFonts w:hint="eastAsia"/>
          <w:color w:val="000000" w:themeColor="text1"/>
        </w:rPr>
        <w:t>学分与学时的换算。18学时为1个学分，三年制总学分不得少于170。军训、入学教育、社会实践、毕业设计（或毕业论文、毕业教育）等，以1周为1学分。</w:t>
      </w:r>
    </w:p>
    <w:p>
      <w:pPr>
        <w:ind w:firstLine="640"/>
        <w:rPr>
          <w:color w:val="000000" w:themeColor="text1"/>
        </w:rPr>
      </w:pPr>
      <w:r>
        <w:rPr>
          <w:rFonts w:hint="eastAsia"/>
          <w:color w:val="000000" w:themeColor="text1"/>
        </w:rPr>
        <w:t>公共基础课程学时一般占总学时的</w:t>
      </w:r>
      <w:r>
        <w:rPr>
          <w:rFonts w:eastAsia="方正仿宋简体"/>
          <w:color w:val="000000" w:themeColor="text1"/>
        </w:rPr>
        <w:t>1/3</w:t>
      </w:r>
      <w:r>
        <w:rPr>
          <w:rFonts w:hint="eastAsia"/>
          <w:color w:val="000000" w:themeColor="text1"/>
        </w:rPr>
        <w:t>，必须保证学生修完公共基础必修课程的内容和总学时数。选修课教学时数占总学时的比例均应不少于10%。学生顶岗实习为1年。</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八、教学进程总体安排</w:t>
      </w:r>
    </w:p>
    <w:p>
      <w:pPr>
        <w:pStyle w:val="3"/>
        <w:ind w:firstLine="643"/>
        <w:rPr>
          <w:rFonts w:hint="eastAsia" w:ascii="楷体" w:hAnsi="楷体" w:eastAsia="楷体" w:cs="楷体"/>
        </w:rPr>
      </w:pPr>
      <w:r>
        <w:rPr>
          <w:rFonts w:hint="eastAsia" w:ascii="楷体" w:hAnsi="楷体" w:eastAsia="楷体" w:cs="楷体"/>
        </w:rPr>
        <w:t>（一）总体安排</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166"/>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8" w:type="dxa"/>
            <w:gridSpan w:val="2"/>
          </w:tcPr>
          <w:p>
            <w:pPr>
              <w:spacing w:line="240" w:lineRule="atLeast"/>
              <w:ind w:firstLine="0" w:firstLineChars="0"/>
              <w:jc w:val="center"/>
              <w:rPr>
                <w:rFonts w:ascii="仿宋"/>
                <w:b/>
                <w:color w:val="auto"/>
                <w:szCs w:val="32"/>
              </w:rPr>
            </w:pPr>
            <w:r>
              <w:rPr>
                <w:rFonts w:hint="eastAsia" w:ascii="仿宋" w:hAnsi="仿宋"/>
                <w:b/>
                <w:color w:val="auto"/>
                <w:szCs w:val="32"/>
              </w:rPr>
              <w:t>教学活动</w:t>
            </w:r>
          </w:p>
        </w:tc>
        <w:tc>
          <w:tcPr>
            <w:tcW w:w="1704" w:type="dxa"/>
          </w:tcPr>
          <w:p>
            <w:pPr>
              <w:spacing w:line="240" w:lineRule="atLeast"/>
              <w:ind w:firstLine="0" w:firstLineChars="0"/>
              <w:jc w:val="center"/>
              <w:rPr>
                <w:rFonts w:ascii="仿宋"/>
                <w:b/>
                <w:color w:val="auto"/>
                <w:szCs w:val="32"/>
              </w:rPr>
            </w:pPr>
            <w:r>
              <w:rPr>
                <w:rFonts w:hint="eastAsia" w:ascii="仿宋" w:hAnsi="仿宋"/>
                <w:b/>
                <w:color w:val="auto"/>
                <w:szCs w:val="32"/>
              </w:rPr>
              <w:t>学分分配</w:t>
            </w:r>
          </w:p>
        </w:tc>
        <w:tc>
          <w:tcPr>
            <w:tcW w:w="1705" w:type="dxa"/>
          </w:tcPr>
          <w:p>
            <w:pPr>
              <w:spacing w:line="240" w:lineRule="atLeast"/>
              <w:ind w:firstLine="0" w:firstLineChars="0"/>
              <w:jc w:val="center"/>
              <w:rPr>
                <w:rFonts w:ascii="仿宋"/>
                <w:b/>
                <w:color w:val="auto"/>
                <w:szCs w:val="32"/>
              </w:rPr>
            </w:pPr>
            <w:r>
              <w:rPr>
                <w:rFonts w:hint="eastAsia" w:ascii="仿宋" w:hAnsi="仿宋"/>
                <w:b/>
                <w:color w:val="auto"/>
                <w:szCs w:val="32"/>
              </w:rPr>
              <w:t>学时分配</w:t>
            </w:r>
          </w:p>
        </w:tc>
        <w:tc>
          <w:tcPr>
            <w:tcW w:w="1705" w:type="dxa"/>
          </w:tcPr>
          <w:p>
            <w:pPr>
              <w:spacing w:line="240" w:lineRule="atLeast"/>
              <w:ind w:firstLine="0" w:firstLineChars="0"/>
              <w:jc w:val="center"/>
              <w:rPr>
                <w:rFonts w:ascii="仿宋"/>
                <w:b/>
                <w:color w:val="auto"/>
                <w:szCs w:val="32"/>
              </w:rPr>
            </w:pPr>
            <w:r>
              <w:rPr>
                <w:rFonts w:hint="eastAsia" w:ascii="仿宋" w:hAnsi="仿宋"/>
                <w:b/>
                <w:color w:val="auto"/>
                <w:szCs w:val="32"/>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vAlign w:val="center"/>
          </w:tcPr>
          <w:p>
            <w:pPr>
              <w:spacing w:line="240" w:lineRule="atLeast"/>
              <w:ind w:firstLine="0" w:firstLineChars="0"/>
              <w:rPr>
                <w:rFonts w:ascii="仿宋"/>
                <w:color w:val="auto"/>
                <w:szCs w:val="32"/>
              </w:rPr>
            </w:pPr>
            <w:r>
              <w:rPr>
                <w:rFonts w:hint="eastAsia" w:ascii="仿宋" w:hAnsi="仿宋"/>
                <w:color w:val="auto"/>
                <w:szCs w:val="32"/>
              </w:rPr>
              <w:t>公共基础课</w:t>
            </w: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公共基础课</w:t>
            </w:r>
          </w:p>
        </w:tc>
        <w:tc>
          <w:tcPr>
            <w:tcW w:w="1704"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55</w:t>
            </w:r>
          </w:p>
        </w:tc>
        <w:tc>
          <w:tcPr>
            <w:tcW w:w="1705"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hAnsi="仿宋" w:cs="仿宋"/>
                <w:color w:val="auto"/>
                <w:kern w:val="0"/>
                <w:szCs w:val="32"/>
                <w:lang w:val="en-US" w:eastAsia="zh-CN" w:bidi="ar"/>
              </w:rPr>
              <w:t>990</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公共选修课</w:t>
            </w:r>
          </w:p>
        </w:tc>
        <w:tc>
          <w:tcPr>
            <w:tcW w:w="1704"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6</w:t>
            </w:r>
          </w:p>
        </w:tc>
        <w:tc>
          <w:tcPr>
            <w:tcW w:w="1705"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hAnsi="仿宋" w:cs="仿宋"/>
                <w:color w:val="auto"/>
                <w:kern w:val="0"/>
                <w:szCs w:val="32"/>
                <w:lang w:val="en-US" w:eastAsia="zh-CN" w:bidi="ar"/>
              </w:rPr>
              <w:t>108</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3.14</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shd w:val="clear" w:color="auto" w:fill="F2F2F2"/>
            <w:vAlign w:val="center"/>
          </w:tcPr>
          <w:p>
            <w:pPr>
              <w:spacing w:line="240" w:lineRule="atLeast"/>
              <w:ind w:firstLine="0" w:firstLineChars="0"/>
              <w:jc w:val="center"/>
              <w:rPr>
                <w:rFonts w:ascii="仿宋"/>
                <w:color w:val="auto"/>
                <w:szCs w:val="32"/>
              </w:rPr>
            </w:pPr>
            <w:r>
              <w:rPr>
                <w:rFonts w:hint="eastAsia" w:ascii="仿宋" w:hAnsi="仿宋"/>
                <w:color w:val="auto"/>
                <w:szCs w:val="32"/>
              </w:rPr>
              <w:t>小计</w:t>
            </w:r>
          </w:p>
        </w:tc>
        <w:tc>
          <w:tcPr>
            <w:tcW w:w="1704" w:type="dxa"/>
            <w:shd w:val="clear" w:color="auto" w:fill="F2F2F2"/>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61</w:t>
            </w:r>
          </w:p>
        </w:tc>
        <w:tc>
          <w:tcPr>
            <w:tcW w:w="1705" w:type="dxa"/>
            <w:shd w:val="clear" w:color="auto" w:fill="F2F2F2"/>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1098</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31.94%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vAlign w:val="center"/>
          </w:tcPr>
          <w:p>
            <w:pPr>
              <w:spacing w:line="240" w:lineRule="atLeast"/>
              <w:ind w:firstLine="0" w:firstLineChars="0"/>
              <w:rPr>
                <w:rFonts w:ascii="仿宋"/>
                <w:color w:val="auto"/>
                <w:szCs w:val="32"/>
              </w:rPr>
            </w:pPr>
            <w:r>
              <w:rPr>
                <w:rFonts w:hint="eastAsia" w:ascii="仿宋" w:hAnsi="仿宋"/>
                <w:color w:val="auto"/>
                <w:szCs w:val="32"/>
              </w:rPr>
              <w:t>专业技能课</w:t>
            </w: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专业基础课</w:t>
            </w:r>
          </w:p>
        </w:tc>
        <w:tc>
          <w:tcPr>
            <w:tcW w:w="1704"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36</w:t>
            </w:r>
          </w:p>
        </w:tc>
        <w:tc>
          <w:tcPr>
            <w:tcW w:w="1705"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648</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18.85</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专业核心课</w:t>
            </w:r>
          </w:p>
        </w:tc>
        <w:tc>
          <w:tcPr>
            <w:tcW w:w="1704"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24</w:t>
            </w:r>
          </w:p>
        </w:tc>
        <w:tc>
          <w:tcPr>
            <w:tcW w:w="1705"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432</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12.57</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Pr>
          <w:p>
            <w:pPr>
              <w:spacing w:line="240" w:lineRule="atLeast"/>
              <w:ind w:firstLine="0" w:firstLineChars="0"/>
              <w:rPr>
                <w:rFonts w:ascii="仿宋"/>
                <w:color w:val="auto"/>
                <w:szCs w:val="32"/>
              </w:rPr>
            </w:pP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专业限选课</w:t>
            </w:r>
          </w:p>
        </w:tc>
        <w:tc>
          <w:tcPr>
            <w:tcW w:w="1704"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4</w:t>
            </w:r>
          </w:p>
        </w:tc>
        <w:tc>
          <w:tcPr>
            <w:tcW w:w="1705" w:type="dxa"/>
            <w:vAlign w:val="center"/>
          </w:tcPr>
          <w:p>
            <w:pPr>
              <w:widowControl/>
              <w:spacing w:line="240" w:lineRule="auto"/>
              <w:ind w:firstLine="0" w:firstLineChars="0"/>
              <w:jc w:val="center"/>
              <w:textAlignment w:val="center"/>
              <w:rPr>
                <w:rFonts w:ascii="仿宋"/>
                <w:color w:val="auto"/>
                <w:szCs w:val="32"/>
              </w:rPr>
            </w:pPr>
            <w:r>
              <w:rPr>
                <w:rFonts w:hint="eastAsia" w:ascii="仿宋" w:hAnsi="仿宋" w:cs="仿宋"/>
                <w:color w:val="auto"/>
                <w:kern w:val="0"/>
                <w:szCs w:val="32"/>
                <w:lang w:bidi="ar"/>
              </w:rPr>
              <w:t>72</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2.09</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Pr>
          <w:p>
            <w:pPr>
              <w:spacing w:line="240" w:lineRule="atLeast"/>
              <w:ind w:firstLine="0" w:firstLineChars="0"/>
              <w:rPr>
                <w:rFonts w:ascii="仿宋"/>
                <w:color w:val="auto"/>
                <w:szCs w:val="32"/>
              </w:rPr>
            </w:pPr>
          </w:p>
        </w:tc>
        <w:tc>
          <w:tcPr>
            <w:tcW w:w="2166" w:type="dxa"/>
            <w:shd w:val="clear" w:color="auto" w:fill="F2F2F2"/>
            <w:vAlign w:val="center"/>
          </w:tcPr>
          <w:p>
            <w:pPr>
              <w:spacing w:line="240" w:lineRule="atLeast"/>
              <w:ind w:firstLine="0" w:firstLineChars="0"/>
              <w:jc w:val="center"/>
              <w:rPr>
                <w:rFonts w:ascii="仿宋"/>
                <w:color w:val="auto"/>
                <w:szCs w:val="32"/>
              </w:rPr>
            </w:pPr>
            <w:r>
              <w:rPr>
                <w:rFonts w:hint="eastAsia" w:ascii="仿宋" w:hAnsi="仿宋"/>
                <w:color w:val="auto"/>
                <w:szCs w:val="32"/>
              </w:rPr>
              <w:t>小计</w:t>
            </w:r>
          </w:p>
        </w:tc>
        <w:tc>
          <w:tcPr>
            <w:tcW w:w="1704"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64</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1152</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33.51%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vAlign w:val="center"/>
          </w:tcPr>
          <w:p>
            <w:pPr>
              <w:spacing w:line="240" w:lineRule="atLeast"/>
              <w:ind w:firstLine="0" w:firstLineChars="0"/>
              <w:jc w:val="center"/>
              <w:rPr>
                <w:rFonts w:ascii="仿宋"/>
                <w:color w:val="auto"/>
                <w:szCs w:val="32"/>
              </w:rPr>
            </w:pPr>
            <w:r>
              <w:rPr>
                <w:rFonts w:hint="eastAsia" w:ascii="仿宋" w:hAnsi="仿宋"/>
                <w:color w:val="auto"/>
                <w:szCs w:val="32"/>
              </w:rPr>
              <w:t>实训实践课</w:t>
            </w: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入学教育</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军训</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ascii="仿宋" w:cs="宋体"/>
                <w:color w:val="auto"/>
                <w:szCs w:val="32"/>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hAnsi="仿宋"/>
                <w:color w:val="auto"/>
                <w:szCs w:val="32"/>
              </w:rPr>
            </w:pPr>
            <w:r>
              <w:rPr>
                <w:rFonts w:hint="eastAsia" w:ascii="仿宋" w:hAnsi="仿宋"/>
                <w:color w:val="000000"/>
                <w:szCs w:val="32"/>
              </w:rPr>
              <w:t>社会实训实践</w:t>
            </w:r>
          </w:p>
        </w:tc>
        <w:tc>
          <w:tcPr>
            <w:tcW w:w="1704" w:type="dxa"/>
            <w:vAlign w:val="center"/>
          </w:tcPr>
          <w:p>
            <w:pPr>
              <w:snapToGrid w:val="0"/>
              <w:spacing w:line="240" w:lineRule="atLeast"/>
              <w:ind w:firstLine="0" w:firstLineChars="0"/>
              <w:jc w:val="center"/>
              <w:rPr>
                <w:rFonts w:ascii="仿宋" w:hAnsi="仿宋"/>
                <w:color w:val="auto"/>
                <w:szCs w:val="32"/>
              </w:rPr>
            </w:pPr>
            <w:r>
              <w:rPr>
                <w:rFonts w:hint="eastAsia" w:ascii="仿宋" w:hAnsi="仿宋"/>
                <w:szCs w:val="32"/>
              </w:rPr>
              <w:t>31</w:t>
            </w:r>
          </w:p>
        </w:tc>
        <w:tc>
          <w:tcPr>
            <w:tcW w:w="1705" w:type="dxa"/>
            <w:vAlign w:val="center"/>
          </w:tcPr>
          <w:p>
            <w:pPr>
              <w:snapToGrid w:val="0"/>
              <w:spacing w:line="240" w:lineRule="atLeast"/>
              <w:ind w:firstLine="0" w:firstLineChars="0"/>
              <w:jc w:val="center"/>
              <w:rPr>
                <w:rFonts w:ascii="仿宋" w:hAnsi="仿宋"/>
                <w:color w:val="auto"/>
                <w:szCs w:val="32"/>
              </w:rPr>
            </w:pPr>
            <w:r>
              <w:rPr>
                <w:rFonts w:hint="eastAsia" w:ascii="仿宋" w:hAnsi="仿宋"/>
                <w:szCs w:val="32"/>
              </w:rPr>
              <w:t>565</w:t>
            </w:r>
          </w:p>
        </w:tc>
        <w:tc>
          <w:tcPr>
            <w:tcW w:w="1705" w:type="dxa"/>
            <w:vAlign w:val="center"/>
          </w:tcPr>
          <w:p>
            <w:pPr>
              <w:widowControl/>
              <w:spacing w:line="240" w:lineRule="auto"/>
              <w:ind w:firstLine="0" w:firstLineChars="0"/>
              <w:jc w:val="center"/>
              <w:textAlignment w:val="center"/>
              <w:rPr>
                <w:rFonts w:hint="default" w:ascii="仿宋" w:hAnsi="仿宋" w:eastAsia="仿宋" w:cs="仿宋"/>
                <w:color w:val="auto"/>
                <w:kern w:val="0"/>
                <w:szCs w:val="32"/>
                <w:lang w:val="en-US" w:eastAsia="zh-CN" w:bidi="ar"/>
              </w:rPr>
            </w:pPr>
            <w:r>
              <w:rPr>
                <w:rFonts w:hint="eastAsia" w:ascii="仿宋" w:hAnsi="仿宋" w:cs="仿宋"/>
                <w:color w:val="auto"/>
                <w:kern w:val="0"/>
                <w:szCs w:val="32"/>
                <w:lang w:val="en-US" w:eastAsia="zh-CN" w:bidi="ar"/>
              </w:rPr>
              <w:t>16.23</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毕业教育</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ascii="仿宋" w:cs="宋体"/>
                <w:color w:val="auto"/>
                <w:szCs w:val="32"/>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ascii="仿宋" w:hAnsi="仿宋" w:cs="宋体"/>
                <w:color w:val="000000"/>
                <w:szCs w:val="32"/>
              </w:rPr>
              <w:t>实习报告</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ascii="仿宋" w:cs="宋体"/>
                <w:color w:val="auto"/>
                <w:szCs w:val="32"/>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顶岗实习</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565</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16.23</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shd w:val="clear" w:color="auto" w:fill="F2F2F2"/>
            <w:vAlign w:val="center"/>
          </w:tcPr>
          <w:p>
            <w:pPr>
              <w:snapToGrid w:val="0"/>
              <w:spacing w:line="240" w:lineRule="atLeast"/>
              <w:ind w:firstLine="0" w:firstLineChars="0"/>
              <w:jc w:val="center"/>
              <w:rPr>
                <w:rFonts w:ascii="仿宋"/>
                <w:color w:val="auto"/>
                <w:szCs w:val="32"/>
              </w:rPr>
            </w:pPr>
            <w:r>
              <w:rPr>
                <w:rFonts w:hint="eastAsia" w:ascii="仿宋" w:hAnsi="仿宋"/>
                <w:color w:val="000000"/>
                <w:szCs w:val="32"/>
              </w:rPr>
              <w:t>小计</w:t>
            </w:r>
          </w:p>
        </w:tc>
        <w:tc>
          <w:tcPr>
            <w:tcW w:w="1704" w:type="dxa"/>
            <w:shd w:val="clear" w:color="auto" w:fill="F2F2F2"/>
            <w:vAlign w:val="center"/>
          </w:tcPr>
          <w:p>
            <w:pPr>
              <w:snapToGrid w:val="0"/>
              <w:spacing w:line="240" w:lineRule="atLeast"/>
              <w:ind w:firstLine="0" w:firstLineChars="0"/>
              <w:jc w:val="center"/>
              <w:rPr>
                <w:rFonts w:ascii="仿宋"/>
                <w:color w:val="auto"/>
                <w:szCs w:val="32"/>
              </w:rPr>
            </w:pPr>
            <w:r>
              <w:rPr>
                <w:rFonts w:ascii="仿宋" w:hAnsi="仿宋"/>
                <w:szCs w:val="32"/>
              </w:rPr>
              <w:t>66</w:t>
            </w:r>
          </w:p>
        </w:tc>
        <w:tc>
          <w:tcPr>
            <w:tcW w:w="1705" w:type="dxa"/>
            <w:shd w:val="clear" w:color="auto" w:fill="F2F2F2"/>
            <w:vAlign w:val="center"/>
          </w:tcPr>
          <w:p>
            <w:pPr>
              <w:snapToGrid w:val="0"/>
              <w:spacing w:line="240" w:lineRule="atLeast"/>
              <w:ind w:firstLine="0" w:firstLineChars="0"/>
              <w:jc w:val="center"/>
              <w:rPr>
                <w:rFonts w:ascii="仿宋"/>
                <w:color w:val="auto"/>
                <w:szCs w:val="32"/>
              </w:rPr>
            </w:pPr>
            <w:r>
              <w:rPr>
                <w:rFonts w:hint="eastAsia" w:ascii="仿宋" w:hAnsi="仿宋"/>
                <w:szCs w:val="32"/>
              </w:rPr>
              <w:t>1250</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34.55%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8" w:type="dxa"/>
            <w:gridSpan w:val="2"/>
            <w:shd w:val="clear" w:color="auto" w:fill="D9D9D9"/>
            <w:vAlign w:val="center"/>
          </w:tcPr>
          <w:p>
            <w:pPr>
              <w:spacing w:line="240" w:lineRule="atLeast"/>
              <w:ind w:firstLine="0" w:firstLineChars="0"/>
              <w:jc w:val="center"/>
              <w:rPr>
                <w:rFonts w:ascii="仿宋"/>
                <w:color w:val="auto"/>
                <w:szCs w:val="32"/>
              </w:rPr>
            </w:pPr>
            <w:r>
              <w:rPr>
                <w:rFonts w:hint="eastAsia" w:ascii="仿宋" w:hAnsi="仿宋"/>
                <w:color w:val="auto"/>
                <w:szCs w:val="32"/>
              </w:rPr>
              <w:t>合计</w:t>
            </w:r>
          </w:p>
        </w:tc>
        <w:tc>
          <w:tcPr>
            <w:tcW w:w="1704" w:type="dxa"/>
            <w:shd w:val="clear" w:color="auto" w:fill="D9D9D9"/>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191</w:t>
            </w:r>
          </w:p>
        </w:tc>
        <w:tc>
          <w:tcPr>
            <w:tcW w:w="1705" w:type="dxa"/>
            <w:shd w:val="clear" w:color="auto" w:fill="D9D9D9"/>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3500</w:t>
            </w:r>
          </w:p>
        </w:tc>
        <w:tc>
          <w:tcPr>
            <w:tcW w:w="1705" w:type="dxa"/>
            <w:shd w:val="clear" w:color="auto" w:fill="D9D9D9"/>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100%</w:t>
            </w:r>
          </w:p>
        </w:tc>
      </w:tr>
    </w:tbl>
    <w:p>
      <w:pPr>
        <w:ind w:firstLine="640"/>
        <w:rPr>
          <w:rFonts w:hint="eastAsia"/>
        </w:rPr>
      </w:pPr>
      <w:r>
        <w:rPr>
          <w:rFonts w:hint="eastAsia"/>
        </w:rPr>
        <w:t>其中，必修课（公共基础课、专业基础课、专业核心课）占比</w:t>
      </w:r>
      <w:r>
        <w:rPr>
          <w:rFonts w:hint="eastAsia"/>
          <w:lang w:val="en-US" w:eastAsia="zh-CN"/>
        </w:rPr>
        <w:t>60.22</w:t>
      </w:r>
      <w:r>
        <w:t>%</w:t>
      </w:r>
      <w:r>
        <w:rPr>
          <w:rFonts w:hint="eastAsia"/>
        </w:rPr>
        <w:t>，选修课（公共选修课、专业限选课）占比</w:t>
      </w:r>
      <w:r>
        <w:rPr>
          <w:rFonts w:hint="eastAsia"/>
          <w:lang w:val="en-US" w:eastAsia="zh-CN"/>
        </w:rPr>
        <w:t>5.23</w:t>
      </w:r>
      <w:r>
        <w:t>%</w:t>
      </w:r>
      <w:r>
        <w:rPr>
          <w:rFonts w:hint="eastAsia"/>
        </w:rPr>
        <w:t>，实训实践课（入学教育、军训、综合实践、社会实践、毕业教育、顶岗实习）占比</w:t>
      </w:r>
      <w:r>
        <w:rPr>
          <w:rFonts w:hint="eastAsia"/>
          <w:lang w:val="en-US" w:eastAsia="zh-CN"/>
        </w:rPr>
        <w:t>34.55</w:t>
      </w:r>
      <w:r>
        <w:t>%</w:t>
      </w:r>
      <w:r>
        <w:rPr>
          <w:rFonts w:hint="eastAsia"/>
        </w:rPr>
        <w:t>。</w:t>
      </w:r>
    </w:p>
    <w:p>
      <w:pPr>
        <w:pStyle w:val="3"/>
        <w:ind w:firstLine="643"/>
        <w:rPr>
          <w:rFonts w:hint="eastAsia" w:ascii="楷体" w:hAnsi="楷体" w:eastAsia="楷体" w:cs="楷体"/>
        </w:rPr>
      </w:pPr>
      <w:r>
        <w:rPr>
          <w:rFonts w:hint="eastAsia" w:ascii="楷体" w:hAnsi="楷体" w:eastAsia="楷体" w:cs="楷体"/>
          <w:lang w:eastAsia="zh-CN"/>
        </w:rPr>
        <w:t>（二）</w:t>
      </w:r>
      <w:r>
        <w:rPr>
          <w:rFonts w:hint="eastAsia" w:ascii="楷体" w:hAnsi="楷体" w:eastAsia="楷体" w:cs="楷体"/>
        </w:rPr>
        <w:t>教学进程</w:t>
      </w:r>
    </w:p>
    <w:tbl>
      <w:tblPr>
        <w:tblStyle w:val="8"/>
        <w:tblW w:w="925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15" w:type="dxa"/>
          <w:left w:w="15" w:type="dxa"/>
          <w:bottom w:w="15" w:type="dxa"/>
          <w:right w:w="15" w:type="dxa"/>
        </w:tblCellMar>
      </w:tblPr>
      <w:tblGrid>
        <w:gridCol w:w="449"/>
        <w:gridCol w:w="585"/>
        <w:gridCol w:w="401"/>
        <w:gridCol w:w="1157"/>
        <w:gridCol w:w="448"/>
        <w:gridCol w:w="383"/>
        <w:gridCol w:w="648"/>
        <w:gridCol w:w="648"/>
        <w:gridCol w:w="647"/>
        <w:gridCol w:w="648"/>
        <w:gridCol w:w="648"/>
        <w:gridCol w:w="648"/>
        <w:gridCol w:w="648"/>
        <w:gridCol w:w="648"/>
        <w:gridCol w:w="6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1034" w:type="dxa"/>
            <w:gridSpan w:val="2"/>
            <w:vMerge w:val="restart"/>
            <w:tcBorders>
              <w:tl2br w:val="nil"/>
              <w:tr2bl w:val="nil"/>
            </w:tcBorders>
            <w:shd w:val="clear" w:color="auto" w:fill="auto"/>
            <w:vAlign w:val="center"/>
          </w:tcPr>
          <w:p>
            <w:pPr>
              <w:widowControl/>
              <w:spacing w:line="240" w:lineRule="atLeast"/>
              <w:ind w:firstLine="0" w:firstLineChars="0"/>
              <w:jc w:val="center"/>
              <w:rPr>
                <w:rFonts w:ascii="仿宋" w:cs="宋体"/>
                <w:kern w:val="0"/>
                <w:sz w:val="21"/>
                <w:szCs w:val="21"/>
              </w:rPr>
            </w:pPr>
            <w:r>
              <w:rPr>
                <w:rFonts w:hint="eastAsia" w:ascii="仿宋" w:cs="宋体"/>
                <w:kern w:val="0"/>
                <w:sz w:val="21"/>
                <w:szCs w:val="21"/>
                <w:lang w:val="en-US" w:eastAsia="zh-CN"/>
              </w:rPr>
              <w:t>类别</w:t>
            </w:r>
          </w:p>
        </w:tc>
        <w:tc>
          <w:tcPr>
            <w:tcW w:w="401"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序号</w:t>
            </w:r>
          </w:p>
        </w:tc>
        <w:tc>
          <w:tcPr>
            <w:tcW w:w="1605" w:type="dxa"/>
            <w:gridSpan w:val="2"/>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课程名称</w:t>
            </w:r>
          </w:p>
        </w:tc>
        <w:tc>
          <w:tcPr>
            <w:tcW w:w="383"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学分</w:t>
            </w:r>
          </w:p>
        </w:tc>
        <w:tc>
          <w:tcPr>
            <w:tcW w:w="1943"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学时数分配</w:t>
            </w:r>
          </w:p>
        </w:tc>
        <w:tc>
          <w:tcPr>
            <w:tcW w:w="3888" w:type="dxa"/>
            <w:gridSpan w:val="6"/>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各学期周学时分配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1034"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605"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383"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理论</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实践</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合计</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一</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二</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三</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四</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五</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1034"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605"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383"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943"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教学周数</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1034"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605"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383"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943"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实际上课周数</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524" w:hRule="atLeast"/>
        </w:trPr>
        <w:tc>
          <w:tcPr>
            <w:tcW w:w="449"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必修课</w:t>
            </w: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公共基础课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中国特色社会主义</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2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心理健康与职业生涯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5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哲学与人生</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85"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职业道德与法治</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40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历史（中国、世界）</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艺术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信息技术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体育</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语文1、2</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166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198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数学1、2</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英语1、2</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lang w:val="en-US" w:eastAsia="zh-CN"/>
              </w:rPr>
            </w:pPr>
            <w:r>
              <w:rPr>
                <w:rFonts w:hint="eastAsia" w:ascii="仿宋" w:cs="宋体"/>
                <w:kern w:val="0"/>
                <w:sz w:val="21"/>
                <w:szCs w:val="21"/>
                <w:lang w:val="en-US" w:eastAsia="zh-CN"/>
              </w:rPr>
              <w:t>公共基础课小计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55</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596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394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990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13</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540" w:hRule="atLeast"/>
        </w:trPr>
        <w:tc>
          <w:tcPr>
            <w:tcW w:w="449" w:type="dxa"/>
            <w:vMerge w:val="restart"/>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必修课</w:t>
            </w:r>
          </w:p>
        </w:tc>
        <w:tc>
          <w:tcPr>
            <w:tcW w:w="585" w:type="dxa"/>
            <w:vMerge w:val="restart"/>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专业基础课</w:t>
            </w: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电子商务基础</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营销基础</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营销文案</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企业沙盘</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default" w:ascii="仿宋" w:cs="宋体"/>
                <w:kern w:val="0"/>
                <w:sz w:val="21"/>
                <w:szCs w:val="21"/>
                <w:lang w:val="en-US"/>
              </w:rPr>
            </w:pPr>
            <w:r>
              <w:rPr>
                <w:rFonts w:hint="eastAsia" w:ascii="仿宋" w:cs="宋体"/>
                <w:kern w:val="0"/>
                <w:sz w:val="21"/>
                <w:szCs w:val="21"/>
                <w:lang w:val="en-US" w:eastAsia="zh-CN"/>
              </w:rPr>
              <w:t>28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2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消费者心理学</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86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电子商务客服（呼叫中心客户服务与管理方向）</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5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网络营销实务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5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图片处理技术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10"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网上开店实务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移动电商</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专业基础课小计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281</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367</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648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40"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专业核心课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商品拍摄技术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微创业</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跨境电商</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45</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网店装修</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60</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42"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网络媒体推广</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60</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2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新媒体运营</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专业核心课小计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129</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303</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432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实训实践课</w:t>
            </w: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1</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入学教育</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spacing w:val="-40"/>
                <w:kern w:val="0"/>
                <w:sz w:val="21"/>
                <w:szCs w:val="21"/>
              </w:rPr>
              <w:t>1周</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2</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军训</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spacing w:val="-40"/>
                <w:kern w:val="0"/>
                <w:sz w:val="21"/>
                <w:szCs w:val="21"/>
              </w:rPr>
              <w:t>1周</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综合实践实训</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565</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实践</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4</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毕业教育</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spacing w:val="-40"/>
                <w:kern w:val="0"/>
                <w:sz w:val="21"/>
                <w:szCs w:val="21"/>
              </w:rPr>
              <w:t>1周</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5</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顶岗实习</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31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565</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spacing w:val="-40"/>
                <w:kern w:val="0"/>
                <w:sz w:val="21"/>
                <w:szCs w:val="21"/>
              </w:rPr>
              <w:t>实习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6</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实习报告</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spacing w:val="-40"/>
                <w:kern w:val="0"/>
                <w:sz w:val="21"/>
                <w:szCs w:val="21"/>
              </w:rPr>
              <w:t>1周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实训实践课小计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default" w:ascii="仿宋" w:cs="宋体"/>
                <w:kern w:val="0"/>
                <w:sz w:val="21"/>
                <w:szCs w:val="21"/>
                <w:lang w:val="en-US"/>
              </w:rPr>
            </w:pPr>
            <w:r>
              <w:rPr>
                <w:rFonts w:hint="eastAsia" w:ascii="仿宋" w:cs="宋体"/>
                <w:kern w:val="0"/>
                <w:sz w:val="21"/>
                <w:szCs w:val="21"/>
                <w:lang w:val="en-US" w:eastAsia="zh-CN"/>
              </w:rPr>
              <w:t>66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1250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449"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选修课</w:t>
            </w: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公共选修课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劳动法</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国学</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0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民族文化（八桂文化）</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公共选修课小计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4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专业限选课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电子商务物流</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525"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营销与口才</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专业限选课小计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45</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eastAsia="仿宋" w:cs="宋体"/>
                <w:kern w:val="0"/>
                <w:sz w:val="21"/>
                <w:szCs w:val="21"/>
                <w:lang w:val="en-US" w:eastAsia="zh-CN"/>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课内理论教学总时数</w:t>
            </w:r>
          </w:p>
        </w:tc>
        <w:tc>
          <w:tcPr>
            <w:tcW w:w="831"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1123</w:t>
            </w:r>
          </w:p>
        </w:tc>
        <w:tc>
          <w:tcPr>
            <w:tcW w:w="5831" w:type="dxa"/>
            <w:gridSpan w:val="9"/>
            <w:tcBorders>
              <w:tl2br w:val="nil"/>
              <w:tr2bl w:val="nil"/>
            </w:tcBorders>
            <w:shd w:val="clear" w:color="auto" w:fill="auto"/>
            <w:vAlign w:val="center"/>
          </w:tcPr>
          <w:p>
            <w:pPr>
              <w:widowControl/>
              <w:spacing w:line="240" w:lineRule="atLeast"/>
              <w:ind w:firstLine="0" w:firstLineChars="0"/>
              <w:jc w:val="left"/>
              <w:rPr>
                <w:rFonts w:hint="eastAsia" w:ascii="仿宋" w:cs="宋体"/>
                <w:kern w:val="0"/>
                <w:sz w:val="21"/>
                <w:szCs w:val="21"/>
              </w:rPr>
            </w:pPr>
            <w:r>
              <w:rPr>
                <w:rFonts w:hint="eastAsia" w:ascii="仿宋" w:cs="宋体"/>
                <w:kern w:val="0"/>
                <w:sz w:val="21"/>
                <w:szCs w:val="21"/>
                <w:lang w:val="en-US" w:eastAsia="zh-CN"/>
              </w:rPr>
              <w:t>公共基础课</w:t>
            </w:r>
            <w:r>
              <w:rPr>
                <w:rFonts w:ascii="仿宋" w:cs="宋体"/>
                <w:kern w:val="0"/>
                <w:sz w:val="21"/>
                <w:szCs w:val="21"/>
                <w:lang w:val="en-US" w:eastAsia="zh-CN"/>
              </w:rPr>
              <w:t>+专业基础课+专业核心课+实训实践课+专业限选课+公共选修课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25"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实践教学总时数</w:t>
            </w:r>
          </w:p>
        </w:tc>
        <w:tc>
          <w:tcPr>
            <w:tcW w:w="831" w:type="dxa"/>
            <w:gridSpan w:val="2"/>
            <w:tcBorders>
              <w:tl2br w:val="nil"/>
              <w:tr2bl w:val="nil"/>
            </w:tcBorders>
            <w:shd w:val="clear" w:color="auto" w:fill="auto"/>
            <w:vAlign w:val="center"/>
          </w:tcPr>
          <w:p>
            <w:pPr>
              <w:widowControl/>
              <w:spacing w:line="240" w:lineRule="atLeast"/>
              <w:ind w:firstLine="0" w:firstLineChars="0"/>
              <w:jc w:val="center"/>
              <w:rPr>
                <w:rFonts w:hint="default" w:ascii="仿宋" w:cs="宋体"/>
                <w:kern w:val="0"/>
                <w:sz w:val="21"/>
                <w:szCs w:val="21"/>
                <w:lang w:val="en-US"/>
              </w:rPr>
            </w:pPr>
            <w:r>
              <w:rPr>
                <w:rFonts w:hint="eastAsia" w:ascii="仿宋" w:cs="宋体"/>
                <w:kern w:val="0"/>
                <w:sz w:val="21"/>
                <w:szCs w:val="21"/>
                <w:lang w:val="en-US" w:eastAsia="zh-CN"/>
              </w:rPr>
              <w:t>2377</w:t>
            </w:r>
          </w:p>
        </w:tc>
        <w:tc>
          <w:tcPr>
            <w:tcW w:w="5831" w:type="dxa"/>
            <w:gridSpan w:val="9"/>
            <w:tcBorders>
              <w:tl2br w:val="nil"/>
              <w:tr2bl w:val="nil"/>
            </w:tcBorders>
            <w:shd w:val="clear" w:color="auto" w:fill="auto"/>
            <w:vAlign w:val="center"/>
          </w:tcPr>
          <w:p>
            <w:pPr>
              <w:widowControl/>
              <w:spacing w:line="240" w:lineRule="atLeast"/>
              <w:ind w:firstLine="0" w:firstLineChars="0"/>
              <w:jc w:val="left"/>
              <w:rPr>
                <w:rFonts w:hint="eastAsia" w:ascii="仿宋" w:cs="宋体"/>
                <w:kern w:val="0"/>
                <w:sz w:val="21"/>
                <w:szCs w:val="21"/>
              </w:rPr>
            </w:pPr>
            <w:r>
              <w:rPr>
                <w:rFonts w:hint="eastAsia" w:ascii="仿宋" w:cs="宋体"/>
                <w:kern w:val="0"/>
                <w:sz w:val="21"/>
                <w:szCs w:val="21"/>
                <w:lang w:val="en-US" w:eastAsia="zh-CN"/>
              </w:rPr>
              <w:t>课内实践教学时数</w:t>
            </w:r>
            <w:r>
              <w:rPr>
                <w:rFonts w:ascii="仿宋" w:cs="宋体"/>
                <w:kern w:val="0"/>
                <w:sz w:val="21"/>
                <w:szCs w:val="21"/>
                <w:lang w:val="en-US" w:eastAsia="zh-CN"/>
              </w:rPr>
              <w:t>+单独设置实践课（军训、入学教育、社会实践、毕业设计或毕业论文、毕业教育）以1周为1学分，顶岗实习按每周30学时计算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教学总学时（理论</w:t>
            </w:r>
            <w:r>
              <w:rPr>
                <w:rFonts w:ascii="仿宋" w:cs="宋体"/>
                <w:kern w:val="0"/>
                <w:sz w:val="21"/>
                <w:szCs w:val="21"/>
                <w:lang w:val="en-US" w:eastAsia="zh-CN"/>
              </w:rPr>
              <w:t>+实践）</w:t>
            </w:r>
          </w:p>
        </w:tc>
        <w:tc>
          <w:tcPr>
            <w:tcW w:w="831"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3500</w:t>
            </w:r>
          </w:p>
        </w:tc>
        <w:tc>
          <w:tcPr>
            <w:tcW w:w="5831" w:type="dxa"/>
            <w:gridSpan w:val="9"/>
            <w:tcBorders>
              <w:tl2br w:val="nil"/>
              <w:tr2bl w:val="nil"/>
            </w:tcBorders>
            <w:shd w:val="clear" w:color="auto" w:fill="auto"/>
            <w:vAlign w:val="center"/>
          </w:tcPr>
          <w:p>
            <w:pPr>
              <w:widowControl/>
              <w:spacing w:line="240" w:lineRule="atLeast"/>
              <w:ind w:firstLine="0" w:firstLineChars="0"/>
              <w:jc w:val="left"/>
              <w:rPr>
                <w:rFonts w:hint="eastAsia" w:ascii="仿宋" w:cs="宋体"/>
                <w:kern w:val="0"/>
                <w:sz w:val="21"/>
                <w:szCs w:val="21"/>
              </w:rPr>
            </w:pPr>
            <w:r>
              <w:rPr>
                <w:rFonts w:hint="eastAsia" w:ascii="仿宋" w:cs="宋体"/>
                <w:kern w:val="0"/>
                <w:sz w:val="21"/>
                <w:szCs w:val="21"/>
                <w:lang w:val="en-US" w:eastAsia="zh-CN"/>
              </w:rPr>
              <w:t>其中理论学时占总学时 30%，实践教学占总学时 70%</w:t>
            </w:r>
            <w:r>
              <w:rPr>
                <w:rFonts w:ascii="仿宋" w:cs="宋体"/>
                <w:kern w:val="0"/>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毕业总学分</w:t>
            </w:r>
          </w:p>
        </w:tc>
        <w:tc>
          <w:tcPr>
            <w:tcW w:w="6662" w:type="dxa"/>
            <w:gridSpan w:val="11"/>
            <w:tcBorders>
              <w:tl2br w:val="nil"/>
              <w:tr2bl w:val="nil"/>
            </w:tcBorders>
            <w:shd w:val="clear" w:color="auto" w:fill="auto"/>
            <w:vAlign w:val="center"/>
          </w:tcPr>
          <w:p>
            <w:pPr>
              <w:widowControl/>
              <w:spacing w:line="240" w:lineRule="atLeast"/>
              <w:jc w:val="left"/>
              <w:rPr>
                <w:rFonts w:hint="default" w:ascii="仿宋" w:cs="宋体"/>
                <w:kern w:val="0"/>
                <w:sz w:val="21"/>
                <w:szCs w:val="21"/>
                <w:lang w:val="en-US"/>
              </w:rPr>
            </w:pPr>
            <w:r>
              <w:rPr>
                <w:rFonts w:hint="eastAsia" w:ascii="仿宋" w:cs="宋体"/>
                <w:kern w:val="0"/>
                <w:sz w:val="21"/>
                <w:szCs w:val="21"/>
                <w:lang w:val="en-US" w:eastAsia="zh-CN"/>
              </w:rPr>
              <w:t>191</w:t>
            </w:r>
          </w:p>
        </w:tc>
      </w:tr>
    </w:tbl>
    <w:p>
      <w:pPr>
        <w:pStyle w:val="2"/>
        <w:keepNext/>
        <w:keepLines/>
        <w:pageBreakBefore w:val="0"/>
        <w:widowControl w:val="0"/>
        <w:kinsoku/>
        <w:wordWrap/>
        <w:overflowPunct/>
        <w:topLinePunct w:val="0"/>
        <w:autoSpaceDE/>
        <w:autoSpaceDN/>
        <w:bidi w:val="0"/>
        <w:adjustRightInd/>
        <w:snapToGrid/>
        <w:spacing w:line="560" w:lineRule="exact"/>
        <w:ind w:firstLine="707" w:firstLineChars="220"/>
        <w:textAlignment w:val="auto"/>
      </w:pPr>
      <w:r>
        <w:rPr>
          <w:rFonts w:hint="eastAsia"/>
          <w:lang w:eastAsia="zh-CN"/>
        </w:rPr>
        <w:t>九</w:t>
      </w:r>
      <w:r>
        <w:rPr>
          <w:rFonts w:hint="eastAsia"/>
        </w:rPr>
        <w:t>、实施保障</w:t>
      </w:r>
    </w:p>
    <w:p>
      <w:pPr>
        <w:pStyle w:val="2"/>
        <w:ind w:firstLine="643"/>
        <w:rPr>
          <w:rFonts w:hint="eastAsia" w:ascii="楷体" w:hAnsi="楷体" w:eastAsia="楷体" w:cs="楷体"/>
        </w:rPr>
      </w:pPr>
      <w:r>
        <w:rPr>
          <w:rFonts w:hint="eastAsia" w:ascii="楷体" w:hAnsi="楷体" w:eastAsia="楷体" w:cs="楷体"/>
        </w:rPr>
        <w:t>（一）师资队伍</w:t>
      </w:r>
    </w:p>
    <w:p>
      <w:pPr>
        <w:ind w:firstLine="640"/>
        <w:rPr>
          <w:rFonts w:ascii="仿宋" w:cs="仿宋"/>
          <w:color w:val="000000"/>
          <w:szCs w:val="32"/>
        </w:rPr>
      </w:pPr>
      <w:r>
        <w:rPr>
          <w:rFonts w:ascii="仿宋" w:hAnsi="仿宋" w:cs="仿宋"/>
          <w:color w:val="000000"/>
          <w:szCs w:val="32"/>
        </w:rPr>
        <w:t>1.</w:t>
      </w:r>
      <w:r>
        <w:rPr>
          <w:rFonts w:hint="eastAsia" w:ascii="仿宋" w:hAnsi="仿宋" w:cs="仿宋"/>
          <w:color w:val="000000"/>
          <w:szCs w:val="32"/>
        </w:rPr>
        <w:t xml:space="preserve">教师具有职校教师资格证或相关职业技能证书。 </w:t>
      </w:r>
    </w:p>
    <w:p>
      <w:pPr>
        <w:ind w:firstLine="640"/>
        <w:rPr>
          <w:rFonts w:ascii="仿宋" w:cs="仿宋"/>
          <w:color w:val="000000"/>
          <w:szCs w:val="32"/>
        </w:rPr>
      </w:pPr>
      <w:r>
        <w:rPr>
          <w:rFonts w:ascii="仿宋" w:hAnsi="仿宋" w:cs="仿宋"/>
          <w:color w:val="000000"/>
          <w:szCs w:val="32"/>
        </w:rPr>
        <w:t>2.</w:t>
      </w:r>
      <w:r>
        <w:rPr>
          <w:rFonts w:hint="eastAsia" w:ascii="仿宋" w:hAnsi="仿宋" w:cs="仿宋"/>
          <w:color w:val="000000"/>
          <w:szCs w:val="32"/>
        </w:rPr>
        <w:t>专业核心课程的教师应具有双师型教师资格或相关行业经历。</w:t>
      </w:r>
    </w:p>
    <w:p>
      <w:pPr>
        <w:ind w:firstLine="640"/>
        <w:rPr>
          <w:rFonts w:ascii="仿宋" w:cs="仿宋"/>
          <w:color w:val="000000"/>
          <w:szCs w:val="32"/>
        </w:rPr>
      </w:pPr>
      <w:r>
        <w:rPr>
          <w:rFonts w:ascii="仿宋" w:hAnsi="仿宋" w:cs="仿宋"/>
          <w:color w:val="000000"/>
          <w:szCs w:val="32"/>
        </w:rPr>
        <w:t>3.</w:t>
      </w:r>
      <w:r>
        <w:rPr>
          <w:rFonts w:hint="eastAsia" w:ascii="仿宋" w:hAnsi="仿宋" w:cs="仿宋"/>
          <w:color w:val="000000"/>
          <w:szCs w:val="32"/>
        </w:rPr>
        <w:t>具有专任教师</w:t>
      </w:r>
      <w:r>
        <w:rPr>
          <w:rFonts w:hint="eastAsia" w:ascii="仿宋" w:hAnsi="仿宋" w:cs="仿宋"/>
          <w:color w:val="000000"/>
          <w:szCs w:val="32"/>
          <w:lang w:val="en-US" w:eastAsia="zh-CN"/>
        </w:rPr>
        <w:t>4</w:t>
      </w:r>
      <w:r>
        <w:rPr>
          <w:rFonts w:hint="eastAsia" w:ascii="仿宋" w:hAnsi="仿宋" w:cs="仿宋"/>
          <w:color w:val="000000"/>
          <w:szCs w:val="32"/>
        </w:rPr>
        <w:t>名，其中</w:t>
      </w:r>
      <w:r>
        <w:rPr>
          <w:rFonts w:hint="eastAsia" w:ascii="仿宋" w:hAnsi="仿宋" w:cs="仿宋"/>
          <w:color w:val="000000"/>
          <w:szCs w:val="32"/>
          <w:lang w:val="en-US" w:eastAsia="zh-CN"/>
        </w:rPr>
        <w:t>3</w:t>
      </w:r>
      <w:r>
        <w:rPr>
          <w:rFonts w:hint="eastAsia" w:ascii="仿宋" w:hAnsi="仿宋" w:cs="仿宋"/>
          <w:color w:val="000000"/>
          <w:szCs w:val="32"/>
        </w:rPr>
        <w:t>名为副高职称，</w:t>
      </w:r>
      <w:r>
        <w:rPr>
          <w:rFonts w:ascii="仿宋" w:hAnsi="仿宋" w:cs="仿宋"/>
          <w:color w:val="000000"/>
          <w:szCs w:val="32"/>
        </w:rPr>
        <w:t>1</w:t>
      </w:r>
      <w:r>
        <w:rPr>
          <w:rFonts w:hint="eastAsia" w:ascii="仿宋" w:hAnsi="仿宋" w:cs="仿宋"/>
          <w:color w:val="000000"/>
          <w:szCs w:val="32"/>
        </w:rPr>
        <w:t>名骨干教师。</w:t>
      </w:r>
    </w:p>
    <w:p>
      <w:pPr>
        <w:pStyle w:val="2"/>
        <w:ind w:firstLine="643"/>
        <w:rPr>
          <w:rFonts w:hint="eastAsia" w:ascii="楷体" w:hAnsi="楷体" w:eastAsia="楷体" w:cs="楷体"/>
        </w:rPr>
      </w:pPr>
      <w:r>
        <w:rPr>
          <w:rFonts w:hint="eastAsia" w:ascii="楷体" w:hAnsi="楷体" w:eastAsia="楷体" w:cs="楷体"/>
        </w:rPr>
        <w:t>（二）教学设施</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1.校内实训</w:t>
      </w:r>
    </w:p>
    <w:p>
      <w:pPr>
        <w:ind w:firstLine="640"/>
        <w:rPr>
          <w:rFonts w:ascii="仿宋" w:cs="仿宋"/>
          <w:color w:val="000000"/>
          <w:szCs w:val="32"/>
        </w:rPr>
      </w:pPr>
      <w:r>
        <w:rPr>
          <w:rFonts w:hint="eastAsia" w:ascii="仿宋" w:hAnsi="仿宋" w:cs="仿宋"/>
          <w:color w:val="000000"/>
          <w:szCs w:val="32"/>
        </w:rPr>
        <w:t>目前我校搭建有计算机实训室，多媒体教室、电子商务创业创新实训室可供《电子商务基础》、《跨境电子商务基础》、《网络媒体推广》、《网店装修》、《微创业》、《商品拍摄》等专业课程上机模拟实习使用。</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 xml:space="preserve">2.校外实训基地  </w:t>
      </w:r>
    </w:p>
    <w:p>
      <w:pPr>
        <w:ind w:firstLine="640"/>
        <w:rPr>
          <w:rFonts w:ascii="仿宋" w:cs="仿宋"/>
          <w:color w:val="000000"/>
          <w:szCs w:val="32"/>
        </w:rPr>
      </w:pPr>
      <w:r>
        <w:rPr>
          <w:rFonts w:hint="eastAsia" w:ascii="仿宋" w:hAnsi="仿宋" w:cs="仿宋"/>
          <w:color w:val="000000"/>
          <w:szCs w:val="32"/>
        </w:rPr>
        <w:t>校外实训基地</w:t>
      </w:r>
      <w:r>
        <w:rPr>
          <w:rFonts w:hint="eastAsia" w:ascii="仿宋" w:hAnsi="仿宋" w:cs="仿宋"/>
          <w:color w:val="000000"/>
          <w:szCs w:val="32"/>
          <w:lang w:val="en-US" w:eastAsia="zh-CN"/>
        </w:rPr>
        <w:t>1</w:t>
      </w:r>
      <w:r>
        <w:rPr>
          <w:rFonts w:hint="eastAsia" w:ascii="仿宋" w:hAnsi="仿宋" w:cs="仿宋"/>
          <w:color w:val="000000"/>
          <w:szCs w:val="32"/>
        </w:rPr>
        <w:t>个，三江县佳韵茶业有限公司开展校企合作，并签订校企合作协议。</w:t>
      </w:r>
    </w:p>
    <w:p>
      <w:pPr>
        <w:ind w:firstLine="640"/>
        <w:rPr>
          <w:rFonts w:ascii="仿宋" w:cs="仿宋"/>
          <w:color w:val="000000"/>
          <w:szCs w:val="32"/>
        </w:rPr>
      </w:pPr>
      <w:r>
        <w:rPr>
          <w:rFonts w:hint="eastAsia" w:ascii="仿宋" w:hAnsi="仿宋" w:cs="仿宋"/>
          <w:color w:val="000000"/>
          <w:szCs w:val="32"/>
        </w:rPr>
        <w:t>企业与学校建立校企合作工作机制，确保企业实训指导教师的真正落实；校外实训基地能够真正为学生提供顶岗实习的岗位，让学生参与到企业真实项目的实施过程中，使学生了解电子商务最前沿的理念和相关业务流程，尽快掌握相应岗位所需的基本技能与专业技术，取得实际工作经验，巩固、综合、强化实践能力，并能培养学生的团队协作精神、群体沟通技巧和组织协调能力等综合素质；企业应参与全面的课程建设，在课程实践环节上提供支持和服务，解决实践教学的薄弱环节；校外实训基地能够为“双师”素质教师提供培养平台，使教师掌握岗位技能，提高教师的实践动手能力和操作能力。</w:t>
      </w:r>
    </w:p>
    <w:p>
      <w:pPr>
        <w:pStyle w:val="2"/>
        <w:ind w:firstLine="643"/>
        <w:rPr>
          <w:rFonts w:hint="eastAsia" w:ascii="楷体" w:hAnsi="楷体" w:eastAsia="楷体" w:cs="楷体"/>
        </w:rPr>
      </w:pPr>
      <w:r>
        <w:rPr>
          <w:rFonts w:hint="eastAsia" w:ascii="楷体" w:hAnsi="楷体" w:eastAsia="楷体" w:cs="楷体"/>
        </w:rPr>
        <w:t>（三）教学资源</w:t>
      </w:r>
    </w:p>
    <w:p>
      <w:pPr>
        <w:ind w:firstLine="640"/>
        <w:rPr>
          <w:rFonts w:ascii="仿宋" w:cs="仿宋"/>
          <w:color w:val="000000"/>
          <w:szCs w:val="32"/>
        </w:rPr>
      </w:pPr>
      <w:r>
        <w:rPr>
          <w:rFonts w:hint="eastAsia" w:ascii="仿宋" w:hAnsi="仿宋" w:cs="仿宋"/>
          <w:color w:val="000000"/>
          <w:szCs w:val="32"/>
        </w:rPr>
        <w:t>教材、图书和数字资源能够满足学生专业学习、教师专业教学研究、教学实施和社会服务需要。严格执行国家和区内关于教材选用的有关要求，健全本校教材选用制度。根据需要组织编写校本教材，开发教学资源。</w:t>
      </w:r>
    </w:p>
    <w:p>
      <w:pPr>
        <w:pStyle w:val="2"/>
        <w:ind w:firstLine="643"/>
        <w:rPr>
          <w:rFonts w:hint="eastAsia" w:ascii="楷体" w:hAnsi="楷体" w:eastAsia="楷体" w:cs="楷体"/>
        </w:rPr>
      </w:pPr>
      <w:r>
        <w:rPr>
          <w:rFonts w:hint="eastAsia" w:ascii="楷体" w:hAnsi="楷体" w:eastAsia="楷体" w:cs="楷体"/>
        </w:rPr>
        <w:t>（四）教学方法</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1.职业道德教育</w:t>
      </w:r>
    </w:p>
    <w:p>
      <w:pPr>
        <w:ind w:firstLine="640"/>
        <w:rPr>
          <w:rFonts w:ascii="仿宋" w:cs="仿宋"/>
          <w:color w:val="000000"/>
          <w:szCs w:val="32"/>
        </w:rPr>
      </w:pPr>
      <w:r>
        <w:rPr>
          <w:rFonts w:hint="eastAsia" w:ascii="仿宋" w:hAnsi="仿宋" w:cs="仿宋"/>
          <w:color w:val="000000"/>
          <w:szCs w:val="32"/>
        </w:rPr>
        <w:t>紧紧围绕专业培养目标，贯彻“德育为先，育人为本”的原则，加强对学生的职业道德教育，培养学生爱岗敬业和团结协作精神，以及勤奋钻研的作风。</w:t>
      </w:r>
    </w:p>
    <w:p>
      <w:pPr>
        <w:ind w:firstLine="640"/>
        <w:rPr>
          <w:rFonts w:ascii="仿宋" w:cs="仿宋"/>
          <w:color w:val="000000"/>
          <w:szCs w:val="32"/>
        </w:rPr>
      </w:pPr>
      <w:r>
        <w:rPr>
          <w:rFonts w:hint="eastAsia"/>
        </w:rPr>
        <w:t>采用理实一体化教学、案例教学、项目教学等方法，坚持学中做、做中学。</w:t>
      </w:r>
      <w:r>
        <w:rPr>
          <w:rFonts w:hint="eastAsia" w:ascii="仿宋" w:hAnsi="仿宋" w:cs="仿宋"/>
          <w:color w:val="000000"/>
          <w:szCs w:val="32"/>
        </w:rPr>
        <w:t xml:space="preserve"> </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 xml:space="preserve">2.理论教学 </w:t>
      </w:r>
    </w:p>
    <w:p>
      <w:pPr>
        <w:ind w:firstLine="640" w:firstLineChars="0"/>
        <w:rPr>
          <w:rFonts w:ascii="仿宋" w:cs="仿宋"/>
          <w:color w:val="000000"/>
          <w:szCs w:val="32"/>
        </w:rPr>
      </w:pPr>
      <w:r>
        <w:rPr>
          <w:rFonts w:hint="eastAsia" w:ascii="仿宋" w:hAnsi="仿宋" w:cs="仿宋"/>
          <w:color w:val="000000"/>
          <w:szCs w:val="32"/>
        </w:rPr>
        <w:t xml:space="preserve">各课程围绕专业岗位技能展开理论教学，按照“必须、够用”与“拓宽知识面”相结合的原则，合理安排课程中理论知识内容，实现理论教学与技能实训的有机结合，重点突出，学以致用。 </w:t>
      </w:r>
      <w:r>
        <w:rPr>
          <w:rFonts w:ascii="仿宋" w:hAnsi="仿宋" w:cs="仿宋"/>
          <w:color w:val="000000"/>
          <w:szCs w:val="32"/>
        </w:rPr>
        <w:t xml:space="preserve"> </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3.实践教学</w:t>
      </w:r>
    </w:p>
    <w:p>
      <w:pPr>
        <w:ind w:firstLine="640"/>
        <w:rPr>
          <w:rFonts w:ascii="仿宋" w:cs="仿宋"/>
          <w:color w:val="000000"/>
          <w:szCs w:val="32"/>
        </w:rPr>
      </w:pPr>
      <w:r>
        <w:rPr>
          <w:rFonts w:hint="eastAsia" w:ascii="仿宋" w:hAnsi="仿宋" w:cs="仿宋"/>
          <w:color w:val="000000"/>
          <w:szCs w:val="32"/>
        </w:rPr>
        <w:t xml:space="preserve">通过教学实习、综合实践、岗前实训、顶岗实习等实践教学环节，完成教学任务。结合“双证”培养目标，建立理实一体的实践教学体系。在实践教学过程中，培养学生组织纪律、劳动观点、集体主义、科学严谨和吃苦耐劳的精神。 </w:t>
      </w:r>
      <w:r>
        <w:rPr>
          <w:rFonts w:ascii="仿宋" w:hAnsi="仿宋" w:cs="仿宋"/>
          <w:color w:val="000000"/>
          <w:szCs w:val="32"/>
        </w:rPr>
        <w:t xml:space="preserve"> </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 xml:space="preserve">4.项目课程教学特点和原则  </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1</w:t>
      </w:r>
      <w:r>
        <w:rPr>
          <w:rFonts w:hint="eastAsia" w:ascii="仿宋" w:hAnsi="仿宋" w:cs="仿宋"/>
          <w:color w:val="000000"/>
          <w:szCs w:val="32"/>
        </w:rPr>
        <w:t xml:space="preserve">）确立以学生为本的教学理念，按照学生学习兴趣和专业需要组织教学活动，并开发校本教材。 </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2</w:t>
      </w:r>
      <w:r>
        <w:rPr>
          <w:rFonts w:hint="eastAsia" w:ascii="仿宋" w:hAnsi="仿宋" w:cs="仿宋"/>
          <w:color w:val="000000"/>
          <w:szCs w:val="32"/>
        </w:rPr>
        <w:t>）重视学生的实践体验，积极创设项目课程实施情境，促进学生实践能力的形成和综合素质的提高。</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3</w:t>
      </w:r>
      <w:r>
        <w:rPr>
          <w:rFonts w:hint="eastAsia" w:ascii="仿宋" w:hAnsi="仿宋" w:cs="仿宋"/>
          <w:color w:val="000000"/>
          <w:szCs w:val="32"/>
        </w:rPr>
        <w:t xml:space="preserve">）根据职业院校学生的心理特点和职业能力形成规律，激发学生学习兴趣，帮助学生树立学习的成就感和自信心。 </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4</w:t>
      </w:r>
      <w:r>
        <w:rPr>
          <w:rFonts w:hint="eastAsia" w:ascii="仿宋" w:hAnsi="仿宋" w:cs="仿宋"/>
          <w:color w:val="000000"/>
          <w:szCs w:val="32"/>
        </w:rPr>
        <w:t>）重视学生在实践教学中的表现，并对其进行考核。</w:t>
      </w:r>
    </w:p>
    <w:p>
      <w:pPr>
        <w:pStyle w:val="2"/>
        <w:ind w:firstLine="643"/>
        <w:rPr>
          <w:rFonts w:hint="eastAsia" w:ascii="楷体" w:hAnsi="楷体" w:eastAsia="楷体" w:cs="楷体"/>
        </w:rPr>
      </w:pPr>
      <w:r>
        <w:rPr>
          <w:rFonts w:hint="eastAsia" w:ascii="楷体" w:hAnsi="楷体" w:eastAsia="楷体" w:cs="楷体"/>
        </w:rPr>
        <w:t>（五）教学评价</w:t>
      </w:r>
    </w:p>
    <w:p>
      <w:pPr>
        <w:ind w:firstLine="640"/>
        <w:rPr>
          <w:rFonts w:ascii="宋体" w:eastAsia="宋体" w:cs="宋体"/>
          <w:color w:val="333333"/>
          <w:kern w:val="0"/>
          <w:sz w:val="24"/>
          <w:szCs w:val="24"/>
        </w:rPr>
      </w:pPr>
      <w:r>
        <w:rPr>
          <w:rFonts w:hint="eastAsia" w:ascii="仿宋" w:hAnsi="仿宋" w:cs="仿宋"/>
          <w:color w:val="000000"/>
          <w:szCs w:val="32"/>
        </w:rPr>
        <w:t>建立教学相关制度，并成立由教学分管领导为组长，由科长和各教研室主任组成的听课小组，通过听课、检查教案、抽查作业等形式，全面检查任课教师的教学态度、教学内容与方法、教学环节、教学效果等，另召开学生座谈会、抽查作业等多种渠道、多种方式收集教学信息，履行教学质量检查与监控职能。</w:t>
      </w:r>
    </w:p>
    <w:p>
      <w:pPr>
        <w:pStyle w:val="2"/>
        <w:ind w:firstLine="643"/>
        <w:rPr>
          <w:rFonts w:hint="eastAsia" w:ascii="楷体" w:hAnsi="楷体" w:eastAsia="楷体" w:cs="楷体"/>
        </w:rPr>
      </w:pPr>
      <w:r>
        <w:rPr>
          <w:rFonts w:hint="eastAsia" w:ascii="楷体" w:hAnsi="楷体" w:eastAsia="楷体" w:cs="楷体"/>
        </w:rPr>
        <w:t>（六）质量管理</w:t>
      </w:r>
    </w:p>
    <w:p>
      <w:pPr>
        <w:ind w:firstLine="640"/>
        <w:rPr>
          <w:rFonts w:ascii="宋体" w:eastAsia="宋体" w:cs="宋体"/>
          <w:color w:val="333333"/>
          <w:kern w:val="0"/>
          <w:sz w:val="24"/>
          <w:szCs w:val="24"/>
        </w:rPr>
      </w:pPr>
      <w:r>
        <w:rPr>
          <w:rFonts w:hint="eastAsia" w:ascii="仿宋" w:hAnsi="仿宋" w:cs="仿宋"/>
          <w:color w:val="000000"/>
          <w:szCs w:val="32"/>
        </w:rPr>
        <w:t>为保证顶岗实习的质量，企业、行业专家与指导教师共同制定和执行顶岗实习管理和考核体系，加强对人才培养过程的管理，完善校企双方教学质量保障机制，建立保证教学质量不断提高的长效机制。</w:t>
      </w:r>
    </w:p>
    <w:p>
      <w:pPr>
        <w:pStyle w:val="2"/>
        <w:keepNext/>
        <w:keepLines/>
        <w:pageBreakBefore w:val="0"/>
        <w:widowControl w:val="0"/>
        <w:kinsoku/>
        <w:wordWrap/>
        <w:overflowPunct/>
        <w:topLinePunct w:val="0"/>
        <w:autoSpaceDE/>
        <w:autoSpaceDN/>
        <w:bidi w:val="0"/>
        <w:adjustRightInd/>
        <w:snapToGrid/>
        <w:spacing w:line="560" w:lineRule="exact"/>
        <w:ind w:firstLine="707" w:firstLineChars="220"/>
        <w:textAlignment w:val="auto"/>
      </w:pPr>
      <w:r>
        <w:rPr>
          <w:rFonts w:hint="eastAsia"/>
          <w:lang w:eastAsia="zh-CN"/>
        </w:rPr>
        <w:t>十</w:t>
      </w:r>
      <w:r>
        <w:rPr>
          <w:rFonts w:hint="eastAsia"/>
        </w:rPr>
        <w:t>、毕业要求</w:t>
      </w:r>
    </w:p>
    <w:p>
      <w:pPr>
        <w:ind w:firstLine="640"/>
        <w:rPr>
          <w:color w:val="000000" w:themeColor="text1"/>
        </w:rPr>
      </w:pPr>
      <w:r>
        <w:rPr>
          <w:rFonts w:hint="eastAsia"/>
          <w:color w:val="000000" w:themeColor="text1"/>
        </w:rPr>
        <w:t>学生通过2年的在校学习，修满专业人才培养方案所规定的学分，达到本专业人才培养目标和培养规格的要求。综合考察学生在校期间的各种表现，如操行、实践活动、考证等，并将考核情况作为是否准予毕业的重要依据。</w:t>
      </w:r>
    </w:p>
    <w:p>
      <w:pPr>
        <w:ind w:firstLine="640"/>
      </w:pPr>
      <w:r>
        <w:t xml:space="preserve"> </w:t>
      </w:r>
    </w:p>
    <w:p>
      <w:pPr>
        <w:ind w:firstLine="640"/>
      </w:pPr>
    </w:p>
    <w:p>
      <w:pPr>
        <w:ind w:firstLine="640"/>
      </w:pPr>
    </w:p>
    <w:p>
      <w:pPr>
        <w:ind w:firstLine="0" w:firstLineChars="0"/>
      </w:pPr>
    </w:p>
    <w:p>
      <w:pPr>
        <w:ind w:firstLine="0" w:firstLineChars="0"/>
        <w:jc w:val="right"/>
        <w:rPr>
          <w:rFonts w:ascii="仿宋" w:cs="仿宋"/>
        </w:rPr>
      </w:pPr>
      <w:r>
        <w:rPr>
          <w:rFonts w:ascii="仿宋" w:hAnsi="仿宋"/>
          <w:szCs w:val="32"/>
        </w:rPr>
        <w:t xml:space="preserve">                               </w:t>
      </w:r>
      <w:r>
        <w:rPr>
          <w:rFonts w:hint="eastAsia" w:ascii="仿宋" w:hAnsi="仿宋"/>
          <w:szCs w:val="32"/>
        </w:rPr>
        <w:t>广西工商学校</w:t>
      </w:r>
    </w:p>
    <w:p>
      <w:pPr>
        <w:ind w:firstLine="0" w:firstLineChars="0"/>
        <w:jc w:val="right"/>
        <w:rPr>
          <w:rFonts w:hint="eastAsia" w:ascii="仿宋" w:eastAsia="仿宋" w:cs="仿宋"/>
          <w:lang w:eastAsia="zh-CN"/>
        </w:rPr>
      </w:pPr>
      <w:r>
        <w:rPr>
          <w:rFonts w:ascii="仿宋" w:hAnsi="仿宋" w:cs="仿宋"/>
        </w:rPr>
        <w:t>20</w:t>
      </w:r>
      <w:r>
        <w:rPr>
          <w:rFonts w:hint="eastAsia" w:ascii="仿宋" w:hAnsi="仿宋" w:cs="仿宋"/>
          <w:lang w:val="en-US" w:eastAsia="zh-CN"/>
        </w:rPr>
        <w:t>20</w:t>
      </w:r>
      <w:r>
        <w:rPr>
          <w:rFonts w:hint="eastAsia" w:ascii="仿宋" w:hAnsi="仿宋" w:cs="仿宋"/>
        </w:rPr>
        <w:t>年</w:t>
      </w:r>
      <w:r>
        <w:rPr>
          <w:rFonts w:hint="eastAsia" w:ascii="仿宋" w:hAnsi="仿宋" w:cs="仿宋"/>
          <w:lang w:val="en-US" w:eastAsia="zh-CN"/>
        </w:rPr>
        <w:t>5</w:t>
      </w:r>
      <w:r>
        <w:rPr>
          <w:rFonts w:hint="eastAsia" w:ascii="仿宋" w:hAnsi="仿宋" w:cs="仿宋"/>
        </w:rPr>
        <w:t>月</w:t>
      </w:r>
      <w:r>
        <w:rPr>
          <w:rFonts w:hint="eastAsia" w:ascii="仿宋" w:hAnsi="仿宋" w:cs="仿宋"/>
          <w:lang w:eastAsia="zh-CN"/>
        </w:rPr>
        <w:t>修订</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简体">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ED2597"/>
    <w:multiLevelType w:val="singleLevel"/>
    <w:tmpl w:val="B2ED2597"/>
    <w:lvl w:ilvl="0" w:tentative="0">
      <w:start w:val="2"/>
      <w:numFmt w:val="chineseCounting"/>
      <w:suff w:val="nothing"/>
      <w:lvlText w:val="（%1）"/>
      <w:lvlJc w:val="left"/>
      <w:rPr>
        <w:rFonts w:hint="eastAsia" w:cs="Times New Roman"/>
      </w:rPr>
    </w:lvl>
  </w:abstractNum>
  <w:abstractNum w:abstractNumId="1">
    <w:nsid w:val="3A213935"/>
    <w:multiLevelType w:val="multilevel"/>
    <w:tmpl w:val="3A213935"/>
    <w:lvl w:ilvl="0" w:tentative="0">
      <w:start w:val="1"/>
      <w:numFmt w:val="bullet"/>
      <w:lvlText w:val=""/>
      <w:lvlJc w:val="left"/>
      <w:pPr>
        <w:ind w:left="1060" w:hanging="420"/>
      </w:pPr>
      <w:rPr>
        <w:rFonts w:hint="default" w:ascii="Wingdings" w:hAnsi="Wingdings"/>
      </w:rPr>
    </w:lvl>
    <w:lvl w:ilvl="1" w:tentative="0">
      <w:start w:val="1"/>
      <w:numFmt w:val="bullet"/>
      <w:lvlText w:val=""/>
      <w:lvlJc w:val="left"/>
      <w:pPr>
        <w:ind w:left="1480" w:hanging="420"/>
      </w:pPr>
      <w:rPr>
        <w:rFonts w:hint="default" w:ascii="Wingdings" w:hAnsi="Wingdings"/>
      </w:rPr>
    </w:lvl>
    <w:lvl w:ilvl="2" w:tentative="0">
      <w:start w:val="1"/>
      <w:numFmt w:val="bullet"/>
      <w:lvlText w:val=""/>
      <w:lvlJc w:val="left"/>
      <w:pPr>
        <w:ind w:left="1900" w:hanging="420"/>
      </w:pPr>
      <w:rPr>
        <w:rFonts w:hint="default" w:ascii="Wingdings" w:hAnsi="Wingdings"/>
      </w:rPr>
    </w:lvl>
    <w:lvl w:ilvl="3" w:tentative="0">
      <w:start w:val="1"/>
      <w:numFmt w:val="bullet"/>
      <w:lvlText w:val=""/>
      <w:lvlJc w:val="left"/>
      <w:pPr>
        <w:ind w:left="2320" w:hanging="420"/>
      </w:pPr>
      <w:rPr>
        <w:rFonts w:hint="default" w:ascii="Wingdings" w:hAnsi="Wingdings"/>
      </w:rPr>
    </w:lvl>
    <w:lvl w:ilvl="4" w:tentative="0">
      <w:start w:val="1"/>
      <w:numFmt w:val="bullet"/>
      <w:lvlText w:val=""/>
      <w:lvlJc w:val="left"/>
      <w:pPr>
        <w:ind w:left="2740" w:hanging="420"/>
      </w:pPr>
      <w:rPr>
        <w:rFonts w:hint="default" w:ascii="Wingdings" w:hAnsi="Wingdings"/>
      </w:rPr>
    </w:lvl>
    <w:lvl w:ilvl="5" w:tentative="0">
      <w:start w:val="1"/>
      <w:numFmt w:val="bullet"/>
      <w:lvlText w:val=""/>
      <w:lvlJc w:val="left"/>
      <w:pPr>
        <w:ind w:left="3160" w:hanging="420"/>
      </w:pPr>
      <w:rPr>
        <w:rFonts w:hint="default" w:ascii="Wingdings" w:hAnsi="Wingdings"/>
      </w:rPr>
    </w:lvl>
    <w:lvl w:ilvl="6" w:tentative="0">
      <w:start w:val="1"/>
      <w:numFmt w:val="bullet"/>
      <w:lvlText w:val=""/>
      <w:lvlJc w:val="left"/>
      <w:pPr>
        <w:ind w:left="3580" w:hanging="420"/>
      </w:pPr>
      <w:rPr>
        <w:rFonts w:hint="default" w:ascii="Wingdings" w:hAnsi="Wingdings"/>
      </w:rPr>
    </w:lvl>
    <w:lvl w:ilvl="7" w:tentative="0">
      <w:start w:val="1"/>
      <w:numFmt w:val="bullet"/>
      <w:lvlText w:val=""/>
      <w:lvlJc w:val="left"/>
      <w:pPr>
        <w:ind w:left="4000" w:hanging="420"/>
      </w:pPr>
      <w:rPr>
        <w:rFonts w:hint="default" w:ascii="Wingdings" w:hAnsi="Wingdings"/>
      </w:rPr>
    </w:lvl>
    <w:lvl w:ilvl="8" w:tentative="0">
      <w:start w:val="1"/>
      <w:numFmt w:val="bullet"/>
      <w:lvlText w:val=""/>
      <w:lvlJc w:val="left"/>
      <w:pPr>
        <w:ind w:left="4420" w:hanging="420"/>
      </w:pPr>
      <w:rPr>
        <w:rFonts w:hint="default" w:ascii="Wingdings" w:hAnsi="Wingdings"/>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